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January 14, 2022   |   MSL: Dana Cho</w:t>
      </w:r>
    </w:p>
    <w:p>
      <w:r>
        <w:rPr>
          <w:b/>
          <w:sz w:val="21"/>
        </w:rPr>
        <w:t>HCP: Lukas Tavernier, MD, Vantage Park Regional Epilepsy Program, Boise, ID (RSM)</w:t>
      </w:r>
    </w:p>
    <w:p>
      <w:r>
        <w:rPr>
          <w:sz w:val="21"/>
        </w:rPr>
      </w:r>
    </w:p>
    <w:p>
      <w:r>
        <w:rPr>
          <w:sz w:val="21"/>
        </w:rPr>
        <w:t>A compressed visit by the scheduling desk; the schedule was tight.</w:t>
      </w:r>
    </w:p>
    <w:p>
      <w:r>
        <w:rPr>
          <w:sz w:val="21"/>
        </w:rPr>
      </w:r>
    </w:p>
    <w:p>
      <w:r>
        <w:rPr>
          <w:sz w:val="21"/>
        </w:rPr>
        <w:t>Formulary placement was the only product-adjacent topic, and only in general terms.</w:t>
      </w:r>
    </w:p>
    <w:p>
      <w:r>
        <w:rPr>
          <w:sz w:val="21"/>
        </w:rPr>
      </w:r>
    </w:p>
    <w:p>
      <w:r>
        <w:rPr>
          <w:sz w:val="21"/>
        </w:rPr>
        <w:t>Most of the discussion was about the referral intake process, which is still being sorted out.</w:t>
      </w:r>
    </w:p>
    <w:p>
      <w:r>
        <w:rPr>
          <w:sz w:val="21"/>
        </w:rPr>
      </w:r>
    </w:p>
    <w:p>
      <w:r>
        <w:rPr>
          <w:sz w:val="21"/>
        </w:rPr>
        <w:t>Asked about my travel schedule, since visits keep landing on the busiest clinic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