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b/>
          <w:sz w:val="21"/>
        </w:rPr>
        <w:t>Field Medical Highlights — XCOPRI (cenobamate)</w:t>
      </w:r>
    </w:p>
    <w:p>
      <w:r>
        <w:rPr>
          <w:sz w:val="21"/>
        </w:rPr>
        <w:t>Date: January 15, 2022   |   From: Priya Menon, Dana Cho</w:t>
      </w:r>
    </w:p>
    <w:p>
      <w:r>
        <w:rPr>
          <w:sz w:val="21"/>
        </w:rPr>
      </w:r>
    </w:p>
    <w:p>
      <w:r>
        <w:rPr>
          <w:b/>
          <w:sz w:val="21"/>
        </w:rPr>
        <w:t>FIELD MEDICAL INSIGHTS</w:t>
      </w:r>
    </w:p>
    <w:p>
      <w:r>
        <w:rPr>
          <w:sz w:val="21"/>
        </w:rPr>
      </w:r>
    </w:p>
    <w:p>
      <w:r>
        <w:rPr>
          <w:b/>
          <w:sz w:val="21"/>
        </w:rPr>
        <w:t>Viraj Corliss, MD, Lakeshore Neurological Care Center, Lexington, KY (AR)</w:t>
      </w:r>
    </w:p>
    <w:p>
      <w:r>
        <w:rPr>
          <w:sz w:val="21"/>
        </w:rPr>
        <w:t>&gt; Stopped by at the nurses' station for a compressed conversation.</w:t>
      </w:r>
    </w:p>
    <w:p>
      <w:r>
        <w:rPr>
          <w:sz w:val="21"/>
        </w:rPr>
        <w:t>&gt; Referenced a case series someone forwarded in passing.</w:t>
      </w:r>
    </w:p>
    <w:p>
      <w:r>
        <w:rPr>
          <w:sz w:val="21"/>
        </w:rPr>
        <w:t>&gt; Referral patterns into this clinic have changed, and the surgical workup list is a bigger share than it was.</w:t>
      </w:r>
    </w:p>
    <w:p>
      <w:r>
        <w:rPr>
          <w:sz w:val="21"/>
        </w:rPr>
        <w:t>&gt; Monitoring intervals during titration are set by clinic routine here rather than by protocol.</w:t>
      </w:r>
    </w:p>
    <w:p>
      <w:r>
        <w:rPr>
          <w:sz w:val="21"/>
        </w:rPr>
        <w:t>&gt; Most of the discussion was about the prior-authorization workflow, which changed again last month.</w:t>
      </w:r>
    </w:p>
    <w:p>
      <w:r>
        <w:rPr>
          <w:sz w:val="21"/>
        </w:rPr>
      </w:r>
    </w:p>
    <w:p>
      <w:r>
        <w:rPr>
          <w:b/>
          <w:sz w:val="21"/>
        </w:rPr>
        <w:t>Bastian Pemberton, MD, Granite Bay Epilepsy Center, Jackson, MS (RSM)</w:t>
      </w:r>
    </w:p>
    <w:p>
      <w:r>
        <w:rPr>
          <w:sz w:val="21"/>
        </w:rPr>
        <w:t>&gt; An unexpectedly long visit in the back office; the schedule was tight.</w:t>
      </w:r>
    </w:p>
    <w:p>
      <w:r>
        <w:rPr>
          <w:sz w:val="21"/>
        </w:rPr>
        <w:t>&gt; Clinic throughput has stretched out since the summer, which shapes how much time there is for anything else.</w:t>
      </w:r>
    </w:p>
    <w:p>
      <w:r>
        <w:rPr>
          <w:sz w:val="21"/>
        </w:rPr>
        <w:t>&gt; The practice lost the clinic pharmacist and has not backfilled, so the referral queue keeps slipping.</w:t>
      </w:r>
    </w:p>
    <w:p>
      <w:r>
        <w:rPr>
          <w:sz w:val="21"/>
        </w:rPr>
        <w:t>&gt; The appeals process has improved somewhat, which came up as a general frustration.</w:t>
      </w:r>
    </w:p>
    <w:p>
      <w:r>
        <w:rPr>
          <w:sz w:val="21"/>
        </w:rPr>
        <w:t>&gt; Formulary placement was the only product-adjacent topic, and only in general terms.</w:t>
      </w:r>
    </w:p>
    <w:p>
      <w:r>
        <w:rPr>
          <w:sz w:val="21"/>
        </w:rPr>
      </w:r>
    </w:p>
    <w:p>
      <w:r>
        <w:rPr>
          <w:b/>
          <w:sz w:val="21"/>
        </w:rPr>
        <w:t>Selin Danforth, MD, Willowmere Neuroscience Center, Bakersfield, CA (RSM)</w:t>
      </w:r>
    </w:p>
    <w:p>
      <w:r>
        <w:rPr>
          <w:sz w:val="21"/>
        </w:rPr>
        <w:t>&gt; Benefit verification is the step that most often delays a start here.</w:t>
      </w:r>
    </w:p>
    <w:p>
      <w:r>
        <w:rPr>
          <w:sz w:val="21"/>
        </w:rPr>
        <w:t>&gt; Clinic throughput is slowly recovering since the summer, which shapes how much time there is for anything else.</w:t>
      </w:r>
    </w:p>
    <w:p>
      <w:r>
        <w:rPr>
          <w:sz w:val="21"/>
        </w:rPr>
        <w:t>&gt; Described the practice as early in its experience here, with nothing to report yet.</w:t>
      </w:r>
    </w:p>
    <w:p>
      <w:r>
        <w:rPr>
          <w:sz w:val="21"/>
        </w:rPr>
        <w:t>&gt; Referenced a review that circulated on the service in passing.</w:t>
      </w:r>
    </w:p>
    <w:p>
      <w:r>
        <w:rPr>
          <w:sz w:val="21"/>
        </w:rPr>
        <w:t>&gt; Titration habits came up in general terms; no specifics were discussed and none were offered.</w:t>
      </w:r>
    </w:p>
    <w:p>
      <w:r>
        <w:rPr>
          <w:sz w:val="21"/>
        </w:rPr>
      </w:r>
    </w:p>
    <w:p>
      <w:r>
        <w:rPr>
          <w:b/>
          <w:sz w:val="21"/>
        </w:rPr>
        <w:t>Camila Larkspur, MD, Kestrel Comprehensive Epilepsy Clinic, Little Rock, AR (RSM)</w:t>
      </w:r>
    </w:p>
    <w:p>
      <w:r>
        <w:rPr>
          <w:sz w:val="21"/>
        </w:rPr>
        <w:t>&gt; Stopped by in the conference room for a brief conversation.</w:t>
      </w:r>
    </w:p>
    <w:p>
      <w:r>
        <w:rPr>
          <w:sz w:val="21"/>
        </w:rPr>
        <w:t>&gt; Onboarding the clinic pharmacist is the current preoccupation here.</w:t>
      </w:r>
    </w:p>
    <w:p>
      <w:r>
        <w:rPr>
          <w:sz w:val="21"/>
        </w:rPr>
        <w:t>&gt; Mentioned a case series someone forwarded but did not raise any specific finding.</w:t>
      </w:r>
    </w:p>
    <w:p>
      <w:r>
        <w:rPr>
          <w:sz w:val="21"/>
        </w:rPr>
        <w:t>&gt; Nothing that needed follow-up. Safety items asked about and confirmed none.</w:t>
      </w:r>
    </w:p>
    <w:p>
      <w:r>
        <w:rPr>
          <w:sz w:val="21"/>
        </w:rPr>
        <w:t>&gt; Monitoring intervals during titration are set by clinic routine here rather than by protocol.</w:t>
      </w:r>
    </w:p>
    <w:p>
      <w:r>
        <w:rPr>
          <w:sz w:val="21"/>
        </w:rPr>
      </w:r>
    </w:p>
    <w:p>
      <w:r>
        <w:rPr>
          <w:b/>
          <w:sz w:val="21"/>
        </w:rPr>
        <w:t>Yannick Nakagawa, MD, Granite Bay Epilepsy Center, Toledo, OH (RSM)</w:t>
      </w:r>
    </w:p>
    <w:p>
      <w:r>
        <w:rPr>
          <w:sz w:val="21"/>
        </w:rPr>
        <w:t>&gt; The referral intake process is still being sorted out, and that took up the first part of the conversation.</w:t>
      </w:r>
    </w:p>
    <w:p>
      <w:r>
        <w:rPr>
          <w:sz w:val="21"/>
        </w:rPr>
        <w:t>&gt; Asked whether I would be at the meeting later this year.</w:t>
      </w:r>
    </w:p>
    <w:p>
      <w:r>
        <w:rPr>
          <w:sz w:val="21"/>
        </w:rPr>
        <w:t>&gt; Titration scheduling is handled by nursing staff, which the practice finds workable.</w:t>
      </w:r>
    </w:p>
    <w:p>
      <w:r>
        <w:rPr>
          <w:sz w:val="21"/>
        </w:rPr>
        <w:t>&gt; Referral patterns into this clinic have changed, and the surgical workup list is a bigger share than it was.</w:t>
      </w:r>
    </w:p>
    <w:p>
      <w:r>
        <w:rPr>
          <w:sz w:val="21"/>
        </w:rPr>
      </w:r>
    </w:p>
    <w:p>
      <w:r>
        <w:rPr>
          <w:b/>
          <w:sz w:val="21"/>
        </w:rPr>
        <w:t>Ulrike Eversholt, MD, Thornfield Regional Epilepsy Program, Portland, ME (AR)</w:t>
      </w:r>
    </w:p>
    <w:p>
      <w:r>
        <w:rPr>
          <w:sz w:val="21"/>
        </w:rPr>
        <w:t>&gt; An unexpectedly long conversation in the workroom, mostly logistics.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  <w:t>&gt; The practice lost a rotating resident and has not backfilled, so the referral queue looks better than last year.</w:t>
      </w:r>
    </w:p>
    <w:p>
      <w:r>
        <w:rPr>
          <w:sz w:val="21"/>
        </w:rPr>
        <w:t>&gt; Spent some time on the refractory group and how workup decisions get sequenced.</w:t>
      </w:r>
    </w:p>
    <w:p>
      <w:r>
        <w:rPr>
          <w:sz w:val="21"/>
        </w:rPr>
        <w:t>&gt; Mentioned a session summary from a colleague but did not raise any specific finding.</w:t>
      </w:r>
    </w:p>
    <w:p>
      <w:r>
        <w:rPr>
          <w:sz w:val="21"/>
        </w:rPr>
      </w:r>
    </w:p>
    <w:p>
      <w:r>
        <w:rPr>
          <w:b/>
          <w:sz w:val="21"/>
        </w:rPr>
        <w:t>Gemma Steinmetz, MD, Vantage Park Regional Epilepsy Program, Chattanooga, TN (RSM)</w:t>
      </w:r>
    </w:p>
    <w:p>
      <w:r>
        <w:rPr>
          <w:sz w:val="21"/>
        </w:rPr>
        <w:t>&gt; A short meeting in the conference room, first one this quarter.</w:t>
      </w:r>
    </w:p>
    <w:p>
      <w:r>
        <w:rPr>
          <w:sz w:val="21"/>
        </w:rPr>
        <w:t>&gt; Described a preference for slower titration in general, unrelated to any particular patient.</w:t>
      </w:r>
    </w:p>
    <w:p>
      <w:r>
        <w:rPr>
          <w:sz w:val="21"/>
        </w:rPr>
        <w:t>&gt; Referral patterns into this clinic have changed, and the surgical workup list is a bigger share than it was.</w:t>
      </w:r>
    </w:p>
    <w:p>
      <w:r>
        <w:rPr>
          <w:sz w:val="21"/>
        </w:rPr>
        <w:t>&gt; This practice is still building familiarity with the product and had no clinical points to raise.</w:t>
      </w:r>
    </w:p>
    <w:p>
      <w:r>
        <w:rPr>
          <w:sz w:val="21"/>
        </w:rPr>
      </w:r>
    </w:p>
    <w:p>
      <w:r>
        <w:rPr>
          <w:b/>
          <w:sz w:val="21"/>
        </w:rPr>
        <w:t>Omar Haddad, MD, Beacon Hill Epilepsy Center, Providence, RI (RSM)</w:t>
      </w:r>
    </w:p>
    <w:p>
      <w:r>
        <w:rPr>
          <w:sz w:val="21"/>
        </w:rPr>
        <w:t>&gt; Routine follow-up slots is slowly recovering since the summer, which shapes how much time there is for anything else.</w:t>
      </w:r>
    </w:p>
    <w:p>
      <w:r>
        <w:rPr>
          <w:sz w:val="21"/>
        </w:rPr>
        <w:t>&gt; Referral patterns into this clinic have changed, and the refractory group is a bigger share than it was.</w:t>
      </w:r>
    </w:p>
    <w:p>
      <w:r>
        <w:rPr>
          <w:sz w:val="21"/>
        </w:rPr>
        <w:t>&gt; Described the practice as early in its experience here, with nothing to report yet.</w:t>
      </w:r>
    </w:p>
    <w:p>
      <w:r>
        <w:rPr>
          <w:sz w:val="21"/>
        </w:rPr>
        <w:t>&gt; Asked whether I would be at the meeting later this year.</w:t>
      </w:r>
    </w:p>
    <w:p>
      <w:r>
        <w:rPr>
          <w:sz w:val="21"/>
        </w:rPr>
        <w:t>&gt; Asked whether I had seen a session summary from a colleague; I had not, and offered nothing in return.</w:t>
      </w:r>
    </w:p>
    <w:p>
      <w:r>
        <w:rPr>
          <w:sz w:val="21"/>
        </w:rPr>
      </w:r>
    </w:p>
    <w:p>
      <w:r>
        <w:rPr>
          <w:b/>
          <w:sz w:val="21"/>
        </w:rPr>
        <w:t>Renee Calloway, MD, Palmetto Neurology Associates, Charleston, SC (RSM)</w:t>
      </w:r>
    </w:p>
    <w:p>
      <w:r>
        <w:rPr>
          <w:sz w:val="21"/>
        </w:rPr>
        <w:t>&gt; An unexpectedly long meeting between clinic blocks, first one this quarter.</w:t>
      </w:r>
    </w:p>
    <w:p>
      <w:r>
        <w:rPr>
          <w:sz w:val="21"/>
        </w:rPr>
        <w:t>&gt; Spent some time on teh surgical workup list and how workup decisions get sequenced.</w:t>
      </w:r>
    </w:p>
    <w:p>
      <w:r>
        <w:rPr>
          <w:sz w:val="21"/>
        </w:rPr>
        <w:t>&gt; Agreed to reconnect at a follow-up appointment; no product discussion.</w:t>
      </w:r>
    </w:p>
    <w:p>
      <w:r>
        <w:rPr>
          <w:sz w:val="21"/>
        </w:rPr>
      </w:r>
    </w:p>
    <w:p>
      <w:r>
        <w:rPr>
          <w:b/>
          <w:sz w:val="21"/>
        </w:rPr>
        <w:t>Fabian Galbraith, MD, Palmetto Neurology Institute, Akron, OH (RSM)</w:t>
      </w:r>
    </w:p>
    <w:p>
      <w:r>
        <w:rPr>
          <w:sz w:val="21"/>
        </w:rPr>
        <w:t>&gt; Stopped by in the workroom for a twenty-minute conversation.</w:t>
      </w:r>
    </w:p>
    <w:p>
      <w:r>
        <w:rPr>
          <w:sz w:val="21"/>
        </w:rPr>
        <w:t>&gt; Described the practice as early in its experience here, with nothing to report yet.</w:t>
      </w:r>
    </w:p>
    <w:p>
      <w:r>
        <w:rPr>
          <w:sz w:val="21"/>
        </w:rPr>
        <w:t>&gt; Onboarding a front-desk coordinator is the current preoccupation here.</w:t>
      </w:r>
    </w:p>
    <w:p>
      <w:r>
        <w:rPr>
          <w:sz w:val="21"/>
        </w:rPr>
        <w:t>&gt; Described a preference for slower titration in general, unrelated to any particular patient.</w:t>
      </w:r>
    </w:p>
    <w:p>
      <w:r>
        <w:rPr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