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April 14, 2022   |   From: Ingrid Halvorsen, Priya Menon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Leonie Underhill, MD, Juniper Flats Neurology Partners, Peoria, IL (RSM)</w:t>
      </w:r>
    </w:p>
    <w:p>
      <w:r>
        <w:rPr>
          <w:sz w:val="21"/>
        </w:rPr>
        <w:t>&gt; Caught a half-hour window by the scheduling desk between patients.</w:t>
      </w:r>
    </w:p>
    <w:p>
      <w:r>
        <w:rPr>
          <w:sz w:val="21"/>
        </w:rPr>
        <w:t>&gt; Asked whether I had seen a review that circulated on the service; I had not, and offered nothing in return.</w:t>
      </w:r>
    </w:p>
    <w:p>
      <w:r>
        <w:rPr>
          <w:sz w:val="21"/>
        </w:rPr>
        <w:t>&gt; Spent some time on long-standing patients and how workup decisions get sequenced.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</w:r>
    </w:p>
    <w:p>
      <w:r>
        <w:rPr>
          <w:b/>
          <w:sz w:val="21"/>
        </w:rPr>
        <w:t>Yannick Nakagawa, MD, Granite Bay Epilepsy Center, Toledo, OH (RSM)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Onboarding the clinic pharmacist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Anouk Oakhurst, MD, Saltmarsh Neurological Care Center, Fayetteville, NC (RSM)</w:t>
      </w:r>
    </w:p>
    <w:p>
      <w:r>
        <w:rPr>
          <w:sz w:val="21"/>
        </w:rPr>
        <w:t>&gt; Mentioned a session summary from a colleague but did not raise any specific finding.</w:t>
      </w:r>
    </w:p>
    <w:p>
      <w:r>
        <w:rPr>
          <w:sz w:val="21"/>
        </w:rPr>
        <w:t>&gt; Noted that coverage paperwork takes longer than the clinical decision and that this is not specific to any one product.</w:t>
      </w:r>
    </w:p>
    <w:p>
      <w:r>
        <w:rPr>
          <w:sz w:val="21"/>
        </w:rPr>
        <w:t>&gt; Most of the discussion was about the phone triage line, which has not settled.</w:t>
      </w:r>
    </w:p>
    <w:p>
      <w:r>
        <w:rPr>
          <w:sz w:val="21"/>
        </w:rPr>
      </w:r>
    </w:p>
    <w:p>
      <w:r>
        <w:rPr>
          <w:b/>
          <w:sz w:val="21"/>
        </w:rPr>
        <w:t>Kenji Eversholt, MD, Copperfield Neurology Institute, Santa Fe, NM (RSM)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  <w:t>&gt; The phone triage line has not settled, and that took up the first part of the conversation.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Noted that formulary questions takes longer than the clinical decision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Silvio Barrowman, MD, Beacon Hill Neurology Associates, Providence, RI (AR)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  <w:t>&gt; No materials requested. Safety items asked about and confirmed none.</w:t>
      </w:r>
    </w:p>
    <w:p>
      <w:r>
        <w:rPr>
          <w:sz w:val="21"/>
        </w:rPr>
        <w:t>&gt; The practice lost a front-desk coordinator and has not backfilled, so routine follow-up slots is slowly recovering.</w:t>
      </w:r>
    </w:p>
    <w:p>
      <w:r>
        <w:rPr>
          <w:sz w:val="21"/>
        </w:rPr>
        <w:t>&gt; The appeals process has improved somewhat, which came up as a general frustration.</w:t>
      </w:r>
    </w:p>
    <w:p>
      <w:r>
        <w:rPr>
          <w:sz w:val="21"/>
        </w:rPr>
      </w:r>
    </w:p>
    <w:p>
      <w:r>
        <w:rPr>
          <w:b/>
          <w:sz w:val="21"/>
        </w:rPr>
        <w:t>Pallavi Ghiradelli, MD, Kestrel Comprehensive Epilepsy Clinic, Shreveport, LA (RSM)</w:t>
      </w:r>
    </w:p>
    <w:p>
      <w:r>
        <w:rPr>
          <w:sz w:val="21"/>
        </w:rPr>
        <w:t>&gt; A half-hour conversation in the back office, mostly logistics.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</w:r>
    </w:p>
    <w:p>
      <w:r>
        <w:rPr>
          <w:b/>
          <w:sz w:val="21"/>
        </w:rPr>
        <w:t>Saoirse Zeitler, MD, Sandhill Neuroscience Center, Tacoma, WA (RSM)</w:t>
      </w:r>
    </w:p>
    <w:p>
      <w:r>
        <w:rPr>
          <w:sz w:val="21"/>
        </w:rPr>
        <w:t>&gt; Caught a brief window in the shared office between patients.</w:t>
      </w:r>
    </w:p>
    <w:p>
      <w:r>
        <w:rPr>
          <w:sz w:val="21"/>
        </w:rPr>
        <w:t>&gt; Closed there — nothing that needed follow-up.</w:t>
      </w:r>
    </w:p>
    <w:p>
      <w:r>
        <w:rPr>
          <w:sz w:val="21"/>
        </w:rPr>
        <w:t>&gt; Described how the refractory group is triaged now compared with before.</w:t>
      </w:r>
    </w:p>
    <w:p>
      <w:r>
        <w:rPr>
          <w:sz w:val="21"/>
        </w:rPr>
      </w:r>
    </w:p>
    <w:p>
      <w:r>
        <w:rPr>
          <w:b/>
          <w:sz w:val="21"/>
        </w:rPr>
        <w:t>Zubin Dunmore, MD, Ember Lake Medical Group, Roanoke, VA (RSM)</w:t>
      </w:r>
    </w:p>
    <w:p>
      <w:r>
        <w:rPr>
          <w:sz w:val="21"/>
        </w:rPr>
        <w:t>&gt; Stopped by in the workroom for a full conversation.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  <w:t>&gt; The composition of newly referred patients has shifted over the last year or two.</w:t>
      </w:r>
    </w:p>
    <w:p>
      <w:r>
        <w:rPr>
          <w:sz w:val="21"/>
        </w:rPr>
      </w:r>
    </w:p>
    <w:p>
      <w:r>
        <w:rPr>
          <w:b/>
          <w:sz w:val="21"/>
        </w:rPr>
        <w:t>Arvind Corliss, MD, Bluestem Comprehensive Epilepsy Clinic, Lakeland, FL (RSM)</w:t>
      </w:r>
    </w:p>
    <w:p>
      <w:r>
        <w:rPr>
          <w:sz w:val="21"/>
        </w:rPr>
        <w:t>&gt; Titration habits came up in general terms; no specifics were discussed adn none were offered.</w:t>
      </w:r>
    </w:p>
    <w:p>
      <w:r>
        <w:rPr>
          <w:sz w:val="21"/>
        </w:rPr>
        <w:t>&gt; Benefit verification is teh step that most often delays a start here.</w:t>
      </w:r>
    </w:p>
    <w:p>
      <w:r>
        <w:rPr>
          <w:sz w:val="21"/>
        </w:rPr>
        <w:t>&gt; Referral patterns into this clinic have changed, adn long-standing patients is a bigger share than it was.</w:t>
      </w:r>
    </w:p>
    <w:p>
      <w:r>
        <w:rPr>
          <w:sz w:val="21"/>
        </w:rPr>
        <w:t>&gt; No materials requested this time. Asked about safety adn confirmed nothing to report.</w:t>
      </w:r>
    </w:p>
    <w:p>
      <w:r>
        <w:rPr>
          <w:sz w:val="21"/>
        </w:rPr>
      </w:r>
    </w:p>
    <w:p>
      <w:r>
        <w:rPr>
          <w:b/>
          <w:sz w:val="21"/>
        </w:rPr>
        <w:t>Valentina Kettleborn, MD, Juniper Flats Neurology Partners, Charleston, SC (RSM)</w:t>
      </w:r>
    </w:p>
    <w:p>
      <w:r>
        <w:rPr>
          <w:sz w:val="21"/>
        </w:rPr>
        <w:t>&gt; Asked about my travel schedule, since visits keep landing on teh busiest clinic days.</w:t>
      </w:r>
    </w:p>
    <w:p>
      <w:r>
        <w:rPr>
          <w:sz w:val="21"/>
        </w:rPr>
        <w:t>&gt; Talked through teh refractory group in general terms, without any specific case.</w:t>
      </w:r>
    </w:p>
    <w:p>
      <w:r>
        <w:rPr>
          <w:sz w:val="21"/>
        </w:rPr>
        <w:t>&gt; This practice is still building familiarity with teh product and had no clinical points to raise.</w:t>
      </w:r>
    </w:p>
    <w:p>
      <w:r>
        <w:rPr>
          <w:sz w:val="21"/>
        </w:rPr>
        <w:t>&gt; Asked whether I had seen a review that circulated on teh service; I had not, and offered nothing in return.</w:t>
      </w:r>
    </w:p>
    <w:p>
      <w:r>
        <w:rPr>
          <w:sz w:val="21"/>
        </w:rPr>
        <w:t>&gt; Coverage paperwork takes longer than teh clinical decision, which came up as a general frustration.</w:t>
      </w:r>
    </w:p>
    <w:p>
      <w:r>
        <w:rPr>
          <w:sz w:val="21"/>
        </w:rPr>
      </w:r>
    </w:p>
    <w:p>
      <w:r>
        <w:rPr>
          <w:b/>
          <w:sz w:val="21"/>
        </w:rPr>
        <w:t>Felicity Oyelaran, MD, Saltmarsh Neurological Care Center, Peoria, IL (RSM)</w:t>
      </w:r>
    </w:p>
    <w:p>
      <w:r>
        <w:rPr>
          <w:sz w:val="21"/>
        </w:rPr>
        <w:t>&gt; An unexpectedly long meeting in the shared office, first one this quarter.</w:t>
      </w:r>
    </w:p>
    <w:p>
      <w:r>
        <w:rPr>
          <w:sz w:val="21"/>
        </w:rPr>
        <w:t>&gt; The appeals process is handled by one person here, which came up as a general frustration.</w:t>
      </w:r>
    </w:p>
    <w:p>
      <w:r>
        <w:rPr>
          <w:sz w:val="21"/>
        </w:rPr>
        <w:t>&gt; Agreed to reconnect at the following quarter; no materials requested.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