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August 23, 2022   |   MSL: Tom Alvarez</w:t>
      </w:r>
    </w:p>
    <w:p>
      <w:r>
        <w:rPr>
          <w:b/>
          <w:sz w:val="21"/>
        </w:rPr>
        <w:t>HCP: Wilhelmina Corliss, MD, Marbury Neurological Care Center, Roanoke, VA (AR)</w:t>
      </w:r>
    </w:p>
    <w:p>
      <w:r>
        <w:rPr>
          <w:sz w:val="21"/>
        </w:rPr>
      </w:r>
    </w:p>
    <w:p>
      <w:r>
        <w:rPr>
          <w:sz w:val="21"/>
        </w:rPr>
        <w:t>The practice lost front-desk coordinator and has not backfilled, so the new-patient backlog looks better than last year.</w:t>
      </w:r>
    </w:p>
    <w:p>
      <w:r>
        <w:rPr>
          <w:sz w:val="21"/>
        </w:rPr>
      </w:r>
    </w:p>
    <w:p>
      <w:r>
        <w:rPr>
          <w:sz w:val="21"/>
        </w:rPr>
        <w:t>Benefit verification is the step that most often delays a start here.</w:t>
      </w:r>
    </w:p>
    <w:p>
      <w:r>
        <w:rPr>
          <w:sz w:val="21"/>
        </w:rPr>
      </w:r>
    </w:p>
    <w:p>
      <w:r>
        <w:rPr>
          <w:sz w:val="21"/>
        </w:rPr>
        <w:t>Described practice as early in its experience here, with nothing to report yet.</w:t>
      </w:r>
    </w:p>
    <w:p>
      <w:r>
        <w:rPr>
          <w:sz w:val="21"/>
        </w:rPr>
      </w:r>
    </w:p>
    <w:p>
      <w:r>
        <w:rPr>
          <w:sz w:val="21"/>
        </w:rPr>
        <w:t>Described preference for slower titration in general, unrelated to any particular 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