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May 15, 2023   |   From: Ravi Chandrasek, Dana Cho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Esperanza Calderwood, MD, Vantage Park Regional Epilepsy Program, Burlington, VT (AR)</w:t>
      </w:r>
    </w:p>
    <w:p>
      <w:r>
        <w:rPr>
          <w:sz w:val="21"/>
        </w:rPr>
        <w:t>&gt; A brief conversation outside the EEG suite, mostly logistics.</w:t>
      </w:r>
    </w:p>
    <w:p>
      <w:r>
        <w:rPr>
          <w:sz w:val="21"/>
        </w:rPr>
        <w:t>&gt; Noted that benefit checks varies by payer and that this is not specific to any one product.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</w:r>
    </w:p>
    <w:p>
      <w:r>
        <w:rPr>
          <w:b/>
          <w:sz w:val="21"/>
        </w:rPr>
        <w:t>Eloise Underhill, MD, Northgate Neurology Partners, Fort Wayne, IN (RSM)</w:t>
      </w:r>
    </w:p>
    <w:p>
      <w:r>
        <w:rPr>
          <w:sz w:val="21"/>
        </w:rPr>
        <w:t>&gt; A rushed visit between clinic blocks; the schedule was tight.</w:t>
      </w:r>
    </w:p>
    <w:p>
      <w:r>
        <w:rPr>
          <w:sz w:val="21"/>
        </w:rPr>
        <w:t>&gt; The composition of newly referred patients has shifted over the last year or two.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</w:r>
    </w:p>
    <w:p>
      <w:r>
        <w:rPr>
          <w:b/>
          <w:sz w:val="21"/>
        </w:rPr>
        <w:t>Tobias Adeyemi-Cole, MD, Windrow Neuroscience Center, Portland, ME (RSM)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The referral queue is slowly recovering since the summer, which shapes how much time there is for anything else.</w:t>
      </w:r>
    </w:p>
    <w:p>
      <w:r>
        <w:rPr>
          <w:sz w:val="21"/>
        </w:rPr>
        <w:t>&gt; Talked through the pediatric-to-adult transfers in general terms, without any specific case.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</w:r>
    </w:p>
    <w:p>
      <w:r>
        <w:rPr>
          <w:b/>
          <w:sz w:val="21"/>
        </w:rPr>
        <w:t>Malika Fairweather, MD, Highmoor Health Neurology, Worcester, MA (RSM)</w:t>
      </w:r>
    </w:p>
    <w:p>
      <w:r>
        <w:rPr>
          <w:sz w:val="21"/>
        </w:rPr>
        <w:t>&gt; Referenced a guideline update discussed at journal club in passing.</w:t>
      </w:r>
    </w:p>
    <w:p>
      <w:r>
        <w:rPr>
          <w:sz w:val="21"/>
        </w:rPr>
        <w:t>&gt; Referral patterns into this clinic have changed, adn long-standing patients is a bigger share than it was.</w:t>
      </w:r>
    </w:p>
    <w:p>
      <w:r>
        <w:rPr>
          <w:sz w:val="21"/>
        </w:rPr>
        <w:t>&gt; Noted that formulary questions varies by payer adn that this is not specific to any one product.</w:t>
      </w:r>
    </w:p>
    <w:p>
      <w:r>
        <w:rPr>
          <w:sz w:val="21"/>
        </w:rPr>
        <w:t>&gt; Asked about my travel schedule, since visits keep landing on teh busiest clinic days.</w:t>
      </w:r>
    </w:p>
    <w:p>
      <w:r>
        <w:rPr>
          <w:sz w:val="21"/>
        </w:rPr>
      </w:r>
    </w:p>
    <w:p>
      <w:r>
        <w:rPr>
          <w:b/>
          <w:sz w:val="21"/>
        </w:rPr>
        <w:t>Saoirse Zeitler, MD, Sandhill Neuroscience Center, Tacoma, WA (RSM)</w:t>
      </w:r>
    </w:p>
    <w:p>
      <w:r>
        <w:rPr>
          <w:sz w:val="21"/>
        </w:rPr>
        <w:t>&gt; Described how the refractory group is triaged now compared with before.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Closed there — no specific request.</w:t>
      </w:r>
    </w:p>
    <w:p>
      <w:r>
        <w:rPr>
          <w:sz w:val="21"/>
        </w:rPr>
        <w:t>&gt; Asked whether I had seen a case series someone forwarded;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Adaeze Tavernier, MD, Juniper Flats Neurology Partners, Fort Collins, CO (AR)</w:t>
      </w:r>
    </w:p>
    <w:p>
      <w:r>
        <w:rPr>
          <w:sz w:val="21"/>
        </w:rPr>
        <w:t>&gt; A twenty-minute visit in the conference room; the schedule was tight.</w:t>
      </w:r>
    </w:p>
    <w:p>
      <w:r>
        <w:rPr>
          <w:sz w:val="21"/>
        </w:rPr>
        <w:t>&gt; Clinic throughput keeps slipping since the summer, which shapes how much time there is for anything else.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</w:r>
    </w:p>
    <w:p>
      <w:r>
        <w:rPr>
          <w:b/>
          <w:sz w:val="21"/>
        </w:rPr>
        <w:t>Fabian Marchetti, MD, Northbrook Neurology Institute, Albany, NY (AR)</w:t>
      </w:r>
    </w:p>
    <w:p>
      <w:r>
        <w:rPr>
          <w:sz w:val="21"/>
        </w:rPr>
        <w:t>&gt; Caught a short window by the scheduling desk between patients.</w:t>
      </w:r>
    </w:p>
    <w:p>
      <w:r>
        <w:rPr>
          <w:sz w:val="21"/>
        </w:rPr>
        <w:t>&gt; Referral patterns into this clinic have changed, and newly referred patients is a bigger share than it was.</w:t>
      </w:r>
    </w:p>
    <w:p>
      <w:r>
        <w:rPr>
          <w:sz w:val="21"/>
        </w:rPr>
        <w:t>&gt; No materials requested. Safety items asked about and confirmed none.</w:t>
      </w:r>
    </w:p>
    <w:p>
      <w:r>
        <w:rPr>
          <w:sz w:val="21"/>
        </w:rPr>
      </w:r>
    </w:p>
    <w:p>
      <w:r>
        <w:rPr>
          <w:b/>
          <w:sz w:val="21"/>
        </w:rPr>
        <w:t>Zubin Grierson, MD, Marbury Neurological Care Center, Tucson, AZ (RSM)</w:t>
      </w:r>
    </w:p>
    <w:p>
      <w:r>
        <w:rPr>
          <w:sz w:val="21"/>
        </w:rPr>
        <w:t>&gt; The practice lost a front-desk coordinator and has not backfilled, so routine follow-up slots keeps slipping.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Described how the surgical workup list is triaged now compared with before.</w:t>
      </w:r>
    </w:p>
    <w:p>
      <w:r>
        <w:rPr>
          <w:sz w:val="21"/>
        </w:rPr>
      </w:r>
    </w:p>
    <w:p>
      <w:r>
        <w:rPr>
          <w:b/>
          <w:sz w:val="21"/>
        </w:rPr>
        <w:t>Gaspar Yoshimura, MD, Vantage Park Regional Epilepsy Program, Bakersfield, CA (RSM)</w:t>
      </w:r>
    </w:p>
    <w:p>
      <w:r>
        <w:rPr>
          <w:sz w:val="21"/>
        </w:rPr>
        <w:t>&gt; The new charting templates changed again last month, and that took up the first part of the conversation.</w:t>
      </w:r>
    </w:p>
    <w:p>
      <w:r>
        <w:rPr>
          <w:sz w:val="21"/>
        </w:rPr>
        <w:t>&gt; No product discussion. Safety items asked about and confirmed none.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b/>
          <w:sz w:val="21"/>
        </w:rPr>
        <w:t>Ulrike Dellacroix, MD, Silver Creek Medical Group, Allentown, PA (RSM)</w:t>
      </w:r>
    </w:p>
    <w:p>
      <w:r>
        <w:rPr>
          <w:sz w:val="21"/>
        </w:rPr>
        <w:t>&gt; A twenty-minute conversation in the workroom, mostly logistics.</w:t>
      </w:r>
    </w:p>
    <w:p>
      <w:r>
        <w:rPr>
          <w:sz w:val="21"/>
        </w:rPr>
        <w:t>&gt; Agreed to reconnect at the next visit; no specific request.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Most of the discussion was about the new charting templates, which went live without much warning.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