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September 10, 2023   |   From: Ravi Chandrasek, Rachel Suh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Bram Marchetti, MD, Palmetto Neurology Institute, Waco, TX (RSM)</w:t>
      </w:r>
    </w:p>
    <w:p>
      <w:r>
        <w:rPr>
          <w:sz w:val="21"/>
        </w:rPr>
        <w:t>&gt; A clipped conversation between clinic blocks, mostly logistics.</w:t>
      </w:r>
    </w:p>
    <w:p>
      <w:r>
        <w:rPr>
          <w:sz w:val="21"/>
        </w:rPr>
        <w:t>&gt; Described how the surgical workup list is triaged now compared with before.</w:t>
      </w:r>
    </w:p>
    <w:p>
      <w:r>
        <w:rPr>
          <w:sz w:val="21"/>
        </w:rPr>
        <w:t>&gt; Routine follow-up slots keeps slipping since the summer, which shapes how much time there is for anything else.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</w:r>
    </w:p>
    <w:p>
      <w:r>
        <w:rPr>
          <w:b/>
          <w:sz w:val="21"/>
        </w:rPr>
        <w:t>Valentina Danforth, MD, Beacon Hill Neurology Associates, Santa Fe, NM (RSM)</w:t>
      </w:r>
    </w:p>
    <w:p>
      <w:r>
        <w:rPr>
          <w:sz w:val="21"/>
        </w:rPr>
        <w:t>&gt; A fragmented visit in the shared office; the schedule was tight.</w:t>
      </w:r>
    </w:p>
    <w:p>
      <w:r>
        <w:rPr>
          <w:sz w:val="21"/>
        </w:rPr>
        <w:t>&gt; Agreed to reconnect at a follow-up appointment; no product discussion.</w:t>
      </w:r>
    </w:p>
    <w:p>
      <w:r>
        <w:rPr>
          <w:sz w:val="21"/>
        </w:rPr>
        <w:t>&gt; Spent some time on the pediatric-to-adult transfers and how workup decisions get sequenced.</w:t>
      </w:r>
    </w:p>
    <w:p>
      <w:r>
        <w:rPr>
          <w:sz w:val="21"/>
        </w:rPr>
        <w:t>&gt; Noted that formulary questions is handled by one person here and that this is not specific to any one product.</w:t>
      </w:r>
    </w:p>
    <w:p>
      <w:r>
        <w:rPr>
          <w:sz w:val="21"/>
        </w:rPr>
      </w:r>
    </w:p>
    <w:p>
      <w:r>
        <w:rPr>
          <w:b/>
          <w:sz w:val="21"/>
        </w:rPr>
        <w:t>Dagmar Nashwood, MD, Harborlight Epilepsy Center, Portland, ME (RSM)</w:t>
      </w:r>
    </w:p>
    <w:p>
      <w:r>
        <w:rPr>
          <w:sz w:val="21"/>
        </w:rPr>
        <w:t>&gt; Described how the surgical workup list is triaged now compared with before.</w:t>
      </w:r>
    </w:p>
    <w:p>
      <w:r>
        <w:rPr>
          <w:sz w:val="21"/>
        </w:rPr>
        <w:t>&gt; The composition of newly referred patients has shifted over the last year or two.</w:t>
      </w:r>
    </w:p>
    <w:p>
      <w:r>
        <w:rPr>
          <w:sz w:val="21"/>
        </w:rPr>
        <w:t>&gt; The practice lost two medical assistants and has not backfilled, so routine follow-up slots is slowly recovering.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  <w:t>&gt; Clinic throughput is slowly recovering since the summer, which shapes how much time there is for anything else.</w:t>
      </w:r>
    </w:p>
    <w:p>
      <w:r>
        <w:rPr>
          <w:sz w:val="21"/>
        </w:rPr>
      </w:r>
    </w:p>
    <w:p>
      <w:r>
        <w:rPr>
          <w:b/>
          <w:sz w:val="21"/>
        </w:rPr>
        <w:t>Lukas Fenwicke, MD, Willowmere Neuroscience Center, Boise, ID (RSM)</w:t>
      </w:r>
    </w:p>
    <w:p>
      <w:r>
        <w:rPr>
          <w:sz w:val="21"/>
        </w:rPr>
        <w:t>&gt; Caught a short window between clinic blocks between patients.</w:t>
      </w:r>
    </w:p>
    <w:p>
      <w:r>
        <w:rPr>
          <w:sz w:val="21"/>
        </w:rPr>
        <w:t>&gt; Referral patterns into this clinic have changed, and the older half of the panel is a bigger share than it was.</w:t>
      </w:r>
    </w:p>
    <w:p>
      <w:r>
        <w:rPr>
          <w:sz w:val="21"/>
        </w:rPr>
        <w:t>&gt; No product discussion. Safety items asked about and confirmed none.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  <w:t>&gt; The practice lost the clinic pharmacist and has not backfilled, so clinic throughput looks better than last year.</w:t>
      </w:r>
    </w:p>
    <w:p>
      <w:r>
        <w:rPr>
          <w:sz w:val="21"/>
        </w:rPr>
      </w:r>
    </w:p>
    <w:p>
      <w:r>
        <w:rPr>
          <w:b/>
          <w:sz w:val="21"/>
        </w:rPr>
        <w:t>Pallavi Vasquez-Lund, MD, Northbrook Neurology Institute, Fayetteville, NC (RSM)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Clinic throughput has stretched out since the summer, which shapes how much time there is for anything else.</w:t>
      </w:r>
    </w:p>
    <w:p>
      <w:r>
        <w:rPr>
          <w:sz w:val="21"/>
        </w:rPr>
        <w:t>&gt; Referral patterns into this clinic have changed, and newly referred patients is a bigger share than it was.</w:t>
      </w:r>
    </w:p>
    <w:p>
      <w:r>
        <w:rPr>
          <w:sz w:val="21"/>
        </w:rPr>
      </w:r>
    </w:p>
    <w:p>
      <w:r>
        <w:rPr>
          <w:b/>
          <w:sz w:val="21"/>
        </w:rPr>
        <w:t>Priya Raghavan, MD, North Star Neurology, Minneapolis, MN (RSM)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  <w:t>&gt; The new-patient backlog is slowly recovering since the summer, which shapes how much time there is for anything else.</w:t>
      </w:r>
    </w:p>
    <w:p>
      <w:r>
        <w:rPr>
          <w:sz w:val="21"/>
        </w:rPr>
        <w:t>&gt; Talked through the pediatric-to-adult transfers in general terms, without any specific case.</w:t>
      </w:r>
    </w:p>
    <w:p>
      <w:r>
        <w:rPr>
          <w:sz w:val="21"/>
        </w:rPr>
      </w:r>
    </w:p>
    <w:p>
      <w:r>
        <w:rPr>
          <w:b/>
          <w:sz w:val="21"/>
        </w:rPr>
        <w:t>Mairead Eversholt, MD, Granite Bay Epilepsy Center, Burlington, VT (RSM)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  <w:t>&gt; Referenced a guideline update discussed at journal club in passing.</w:t>
      </w:r>
    </w:p>
    <w:p>
      <w:r>
        <w:rPr>
          <w:sz w:val="21"/>
        </w:rPr>
        <w:t>&gt; Talked through the older half of the panel in general terms, without any specific case.</w:t>
      </w:r>
    </w:p>
    <w:p>
      <w:r>
        <w:rPr>
          <w:sz w:val="21"/>
        </w:rPr>
        <w:t>&gt; Noted that benefit checks remains the slowest step and that this is not specific to any one product.</w:t>
      </w:r>
    </w:p>
    <w:p>
      <w:r>
        <w:rPr>
          <w:sz w:val="21"/>
        </w:rPr>
        <w:t>&gt; The phone triage line is being piloted this quarter, and that took up the first part of the conversation.</w:t>
      </w:r>
    </w:p>
    <w:p>
      <w:r>
        <w:rPr>
          <w:sz w:val="21"/>
        </w:rPr>
      </w:r>
    </w:p>
    <w:p>
      <w:r>
        <w:rPr>
          <w:b/>
          <w:sz w:val="21"/>
        </w:rPr>
        <w:t>Kiara Wetherby, MD, Fox Hollow Neurology Partners, Tucson, AZ (AR)</w:t>
      </w:r>
    </w:p>
    <w:p>
      <w:r>
        <w:rPr>
          <w:sz w:val="21"/>
        </w:rPr>
        <w:t>&gt; An unexpectedly long visit in the workroom; the schedule was tight.</w:t>
      </w:r>
    </w:p>
    <w:p>
      <w:r>
        <w:rPr>
          <w:sz w:val="21"/>
        </w:rPr>
        <w:t>&gt; The composition of the refractory group has shifted over the last year or two.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</w:r>
    </w:p>
    <w:p>
      <w:r>
        <w:rPr>
          <w:b/>
          <w:sz w:val="21"/>
        </w:rPr>
        <w:t>Imani Kilbride, MD, Northgate Neurology Partners, Spokane, WA (AR)</w:t>
      </w:r>
    </w:p>
    <w:p>
      <w:r>
        <w:rPr>
          <w:sz w:val="21"/>
        </w:rPr>
        <w:t>&gt; A twenty-minute visit in the reading room; the schedule was tight.</w:t>
      </w:r>
    </w:p>
    <w:p>
      <w:r>
        <w:rPr>
          <w:sz w:val="21"/>
        </w:rPr>
        <w:t>&gt; Noted that the appeals process takes longer than the clinical decision and that this is not specific to any one product.</w:t>
      </w:r>
    </w:p>
    <w:p>
      <w:r>
        <w:rPr>
          <w:sz w:val="21"/>
        </w:rPr>
        <w:t>&gt; No specific request. Safety items asked about and confirmed none.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  <w:t>&gt; Spent some time on the surgical workup list and how workup decisions get sequenced.</w:t>
      </w:r>
    </w:p>
    <w:p>
      <w:r>
        <w:rPr>
          <w:sz w:val="21"/>
        </w:rPr>
      </w:r>
    </w:p>
    <w:p>
      <w:r>
        <w:rPr>
          <w:b/>
          <w:sz w:val="21"/>
        </w:rPr>
        <w:t>Wilhelmina Thistlewood, MD, Copperfield Neurology Institute, Tucson, AZ (RSM)</w:t>
      </w:r>
    </w:p>
    <w:p>
      <w:r>
        <w:rPr>
          <w:sz w:val="21"/>
        </w:rPr>
        <w:t>&gt; Described how newly referred patients is triaged now compared with before.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  <w:t>&gt; The practice lost the clinic pharmacist and has not backfilled, so the new-patient backlog keeps slipping.</w:t>
      </w:r>
    </w:p>
    <w:p>
      <w:r>
        <w:rPr>
          <w:sz w:val="21"/>
        </w:rPr>
        <w:t>&gt; Asked whether I had seen a case series someone forwarded; I had not, and offered nothing in return.</w:t>
      </w:r>
    </w:p>
    <w:p>
      <w:r>
        <w:rPr>
          <w:sz w:val="21"/>
        </w:rPr>
      </w:r>
    </w:p>
    <w:p>
      <w:r>
        <w:rPr>
          <w:b/>
          <w:sz w:val="21"/>
        </w:rPr>
        <w:t>Bettina Wetherby, MD, Ember Lake Medical Group, Omaha, NE (AR)</w:t>
      </w:r>
    </w:p>
    <w:p>
      <w:r>
        <w:rPr>
          <w:sz w:val="21"/>
        </w:rPr>
        <w:t>&gt; Caught a rushed window in the reading room between patients.</w:t>
      </w:r>
    </w:p>
    <w:p>
      <w:r>
        <w:rPr>
          <w:sz w:val="21"/>
        </w:rPr>
        <w:t>&gt; Most of the discussion was about the scheduling system, which is being piloted this quarter.</w:t>
      </w:r>
    </w:p>
    <w:p>
      <w:r>
        <w:rPr>
          <w:sz w:val="21"/>
        </w:rPr>
        <w:t>&gt; Coverage paperwork remains the slowest step, which came up as a general frustration.</w:t>
      </w:r>
    </w:p>
    <w:p>
      <w:r>
        <w:rPr>
          <w:sz w:val="21"/>
        </w:rPr>
        <w:t>&gt; Mentioned a review that circulated on the service but did not raise any specific finding.</w:t>
      </w:r>
    </w:p>
    <w:p>
      <w:r>
        <w:rPr>
          <w:sz w:val="21"/>
        </w:rPr>
        <w:t>&gt; No materials requested. Safety items asked about and confirmed none.</w:t>
      </w:r>
    </w:p>
    <w:p>
      <w:r>
        <w:rPr>
          <w:sz w:val="21"/>
        </w:rPr>
      </w:r>
    </w:p>
    <w:p>
      <w:r>
        <w:rPr>
          <w:b/>
          <w:sz w:val="21"/>
        </w:rPr>
        <w:t>Ulrike Dellacroix, MD, Silver Creek Medical Group, Allentown, PA (RSM)</w:t>
      </w:r>
    </w:p>
    <w:p>
      <w:r>
        <w:rPr>
          <w:sz w:val="21"/>
        </w:rPr>
        <w:t>&gt; An unhurried conversation in the conference room, mostly logistics.</w:t>
      </w:r>
    </w:p>
    <w:p>
      <w:r>
        <w:rPr>
          <w:sz w:val="21"/>
        </w:rPr>
        <w:t>&gt; Onboarding one of the nurse practitioners is the current preoccupation here.</w:t>
      </w:r>
    </w:p>
    <w:p>
      <w:r>
        <w:rPr>
          <w:sz w:val="21"/>
        </w:rPr>
        <w:t>&gt; Talked through newly referred patients in general terms, without any specific case.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  <w:t>&gt; Coverage paperwork varies by payer, which came up as a general frustration.</w:t>
      </w:r>
    </w:p>
    <w:p>
      <w:r>
        <w:rPr>
          <w:sz w:val="21"/>
        </w:rPr>
      </w:r>
    </w:p>
    <w:p>
      <w:r>
        <w:rPr>
          <w:b/>
          <w:sz w:val="21"/>
        </w:rPr>
        <w:t>Kenji Dunmore, MD, Windrow Neuroscience Center, Manchester, NH (RSM)</w:t>
      </w:r>
    </w:p>
    <w:p>
      <w:r>
        <w:rPr>
          <w:sz w:val="21"/>
        </w:rPr>
        <w:t>&gt; Stopped by over a quick coffee for an unexpectedly long conversation.</w:t>
      </w:r>
    </w:p>
    <w:p>
      <w:r>
        <w:rPr>
          <w:sz w:val="21"/>
        </w:rPr>
        <w:t>&gt; The referral queue keeps slipping since the summer, which shapes how much time there is for anything else.</w:t>
      </w:r>
    </w:p>
    <w:p>
      <w:r>
        <w:rPr>
          <w:sz w:val="21"/>
        </w:rPr>
        <w:t>&gt; Onboarding a front-desk coordinator is the current preoccupation here.</w:t>
      </w:r>
    </w:p>
    <w:p>
      <w:r>
        <w:rPr>
          <w:sz w:val="21"/>
        </w:rPr>
        <w:t>&gt; Referral patterns into this clinic have changed, and the pediatric-to-adult transfers is a bigger share than it was.</w:t>
      </w:r>
    </w:p>
    <w:p>
      <w:r>
        <w:rPr>
          <w:sz w:val="21"/>
        </w:rPr>
      </w:r>
    </w:p>
    <w:p>
      <w:r>
        <w:rPr>
          <w:b/>
          <w:sz w:val="21"/>
        </w:rPr>
        <w:t>Esperanza Bellweather, MD, Thornfield Regional Epilepsy Program, Manchester, NH (AR)</w:t>
      </w:r>
    </w:p>
    <w:p>
      <w:r>
        <w:rPr>
          <w:sz w:val="21"/>
        </w:rPr>
        <w:t>&gt; An unhurried conversation in the shared office, mostly logistics.</w:t>
      </w:r>
    </w:p>
    <w:p>
      <w:r>
        <w:rPr>
          <w:sz w:val="21"/>
        </w:rPr>
        <w:t>&gt; Referral patterns into this clinic have changed, and the older half of the panel is a bigger share than it was.</w:t>
      </w:r>
    </w:p>
    <w:p>
      <w:r>
        <w:rPr>
          <w:sz w:val="21"/>
        </w:rPr>
        <w:t>&gt; The practice lost the clinic pharmacist and has not backfilled, so routine follow-up slots looks better than last year.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  <w:t>&gt; Left it at that, with a follow-up appointment to be scheduled.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