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sz w:val="21"/>
        </w:rPr>
        <w:t>Interaction Note   |   Date: November 2, 2023   |   MSL: Ravi Chandrasek</w:t>
      </w:r>
    </w:p>
    <w:p>
      <w:r>
        <w:rPr>
          <w:b/>
          <w:sz w:val="21"/>
        </w:rPr>
        <w:t>HCP: Tobias Norrington, MD, Marbury Neurological Care Center, Mobile, AL (RSM)</w:t>
      </w:r>
    </w:p>
    <w:p>
      <w:r>
        <w:rPr>
          <w:sz w:val="21"/>
        </w:rPr>
      </w:r>
    </w:p>
    <w:p>
      <w:r>
        <w:rPr>
          <w:sz w:val="21"/>
        </w:rPr>
        <w:t>Caught a fragmented window in the corridor between patients.</w:t>
      </w:r>
    </w:p>
    <w:p>
      <w:r>
        <w:rPr>
          <w:sz w:val="21"/>
        </w:rPr>
      </w:r>
    </w:p>
    <w:p>
      <w:r>
        <w:rPr>
          <w:sz w:val="21"/>
        </w:rPr>
        <w:t>Described how newly referred patients is triaged now compared with before.</w:t>
      </w:r>
    </w:p>
    <w:p>
      <w:r>
        <w:rPr>
          <w:sz w:val="21"/>
        </w:rPr>
      </w:r>
    </w:p>
    <w:p>
      <w:r>
        <w:rPr>
          <w:sz w:val="21"/>
        </w:rPr>
        <w:t>Asked about my travel schedule, since visits keep landing on the busiest clinic days.</w:t>
      </w:r>
    </w:p>
    <w:p>
      <w:r>
        <w:rPr>
          <w:sz w:val="21"/>
        </w:rPr>
      </w:r>
    </w:p>
    <w:p>
      <w:r>
        <w:rPr>
          <w:sz w:val="21"/>
        </w:rPr>
        <w:t>Spent some time on the pediatric-to-adult transfers and how workup decisions get sequenced.</w:t>
      </w:r>
    </w:p>
    <w:p>
      <w:r>
        <w:rPr>
          <w:sz w:val="21"/>
        </w:rPr>
      </w:r>
    </w:p>
    <w:p>
      <w:r>
        <w:rPr>
          <w:sz w:val="21"/>
        </w:rPr>
        <w:t>Titration habits came up in general terms; no specifics were discussed and none were offered.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