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February 14, 2024   |   MSL: Ravi Chandrasek</w:t>
      </w:r>
    </w:p>
    <w:p>
      <w:r>
        <w:rPr>
          <w:b/>
          <w:sz w:val="21"/>
        </w:rPr>
        <w:t>HCP: Xiomara Barrowman, MD, Beacon Hill Neurology Associates, Omaha, NE (RSM)</w:t>
      </w:r>
    </w:p>
    <w:p>
      <w:r>
        <w:rPr>
          <w:sz w:val="21"/>
        </w:rPr>
      </w:r>
    </w:p>
    <w:p>
      <w:r>
        <w:rPr>
          <w:sz w:val="21"/>
        </w:rPr>
        <w:t>A twenty-minute meeting in the reading room, first one this quarter.</w:t>
      </w:r>
    </w:p>
    <w:p>
      <w:r>
        <w:rPr>
          <w:sz w:val="21"/>
        </w:rPr>
      </w:r>
    </w:p>
    <w:p>
      <w:r>
        <w:rPr>
          <w:sz w:val="21"/>
        </w:rPr>
        <w:t>The travel schedule this year came up, and little else.</w:t>
      </w:r>
    </w:p>
    <w:p>
      <w:r>
        <w:rPr>
          <w:sz w:val="21"/>
        </w:rPr>
      </w:r>
    </w:p>
    <w:p>
      <w:r>
        <w:rPr>
          <w:sz w:val="21"/>
        </w:rPr>
        <w:t>Agreed to reconnect at the following quarter; nothing actionable this visit.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