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9, 2024   |   From: Sam Becker, Yuki Tanabe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Wilhelmina Eastmond, MD, Fox Hollow Neurology Partners, Tucson, AZ (RSM)</w:t>
      </w:r>
    </w:p>
    <w:p>
      <w:r>
        <w:rPr>
          <w:sz w:val="21"/>
        </w:rPr>
        <w:t>&gt; Stopped by in the workroom for full convo.</w:t>
      </w:r>
    </w:p>
    <w:p>
      <w:r>
        <w:rPr>
          <w:sz w:val="21"/>
        </w:rPr>
        <w:t>&gt; Referral patterns into this clinic have changed, and the surgical workup list is bigger share than it was.</w:t>
      </w:r>
    </w:p>
    <w:p>
      <w:r>
        <w:rPr>
          <w:sz w:val="21"/>
        </w:rPr>
        <w:t>&gt; Talked through older half of panel in general terms, without any specific case.</w:t>
      </w:r>
    </w:p>
    <w:p>
      <w:r>
        <w:rPr>
          <w:sz w:val="21"/>
        </w:rPr>
        <w:t>&gt; The appeals process takes longer than the clinical decision,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Rosalind Dellacroix, MD, Lakeshore Neurological Care Center, Fort Wayne, IN (RSM)</w:t>
      </w:r>
    </w:p>
    <w:p>
      <w:r>
        <w:rPr>
          <w:sz w:val="21"/>
        </w:rPr>
        <w:t>&gt; Asked whether I would be at meeting later this year.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  <w:t>&gt; Talked through surgical workup list in general terms, without any specific case.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Renata Hollingsworth, MD, Silver Creek Medical Group, Peoria, IL (AR)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Routine f/u slots keeps slipping since teh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Eamon Quintrell, MD, Fox Hollow Neurology Partners, Des Moines, IA (RSM)</w:t>
      </w:r>
    </w:p>
    <w:p>
      <w:r>
        <w:rPr>
          <w:sz w:val="21"/>
        </w:rPr>
        <w:t>&gt; Stopped by over a quick coffee for a fragmented convo.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</w:r>
    </w:p>
    <w:p>
      <w:r>
        <w:rPr>
          <w:b/>
          <w:sz w:val="21"/>
        </w:rPr>
        <w:t>Dagmar Nashwood, MD, Harborlight Epilepsy Center, Portland, ME (RSM)</w:t>
      </w:r>
    </w:p>
    <w:p>
      <w:r>
        <w:rPr>
          <w:sz w:val="21"/>
        </w:rPr>
        <w:t>&gt; Caught a productive window at nurses' station between patients.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Yannick Thistlewood, MD, Thornfield Regional Epilepsy Program, Wichita, KS (RSM)</w:t>
      </w:r>
    </w:p>
    <w:p>
      <w:r>
        <w:rPr>
          <w:sz w:val="21"/>
        </w:rPr>
        <w:t>&gt; A productive convo in the reading room, mostly logistics.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The practice lost epilepsy fellow and has not backfilled, so referral queue keeps slipping.</w:t>
      </w:r>
    </w:p>
    <w:p>
      <w:r>
        <w:rPr>
          <w:sz w:val="21"/>
        </w:rPr>
      </w:r>
    </w:p>
    <w:p>
      <w:r>
        <w:rPr>
          <w:b/>
          <w:sz w:val="21"/>
        </w:rPr>
        <w:t>Darius Prendergast, MD, Quarry Hill Epilepsy Center, Duluth, MN (RSM)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Felicity Oyelaran, MD, Saltmarsh Neurological Care Center, Peoria, IL (RSM)</w:t>
      </w:r>
    </w:p>
    <w:p>
      <w:r>
        <w:rPr>
          <w:sz w:val="21"/>
        </w:rPr>
        <w:t>&gt; Caught half-hour window in the shared office between pts.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The practice lost rotating resident and has not backfilled, so the new-patient backlog has stretched out.</w:t>
      </w:r>
    </w:p>
    <w:p>
      <w:r>
        <w:rPr>
          <w:sz w:val="21"/>
        </w:rPr>
        <w:t>&gt; Spent some time on pediatric-to-adult transfers and how workup decisions get sequenced.</w:t>
      </w:r>
    </w:p>
    <w:p>
      <w:r>
        <w:rPr>
          <w:sz w:val="21"/>
        </w:rPr>
        <w:t>&gt; Coverage paperwork has improved somewhat, which came up as general frustration.</w:t>
      </w:r>
    </w:p>
    <w:p>
      <w:r>
        <w:rPr>
          <w:sz w:val="21"/>
        </w:rPr>
      </w:r>
    </w:p>
    <w:p>
      <w:r>
        <w:rPr>
          <w:b/>
          <w:sz w:val="21"/>
        </w:rPr>
        <w:t>Ilse Norrington, MD, Ironwood Neurology Associates, Spokane, WA (RSM)</w:t>
      </w:r>
    </w:p>
    <w:p>
      <w:r>
        <w:rPr>
          <w:sz w:val="21"/>
        </w:rPr>
        <w:t>&gt; Stopped by in shared office for a fragmented conversation.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Talked through newly referred pts in general terms, without any specific case.</w:t>
      </w:r>
    </w:p>
    <w:p>
      <w:r>
        <w:rPr>
          <w:sz w:val="21"/>
        </w:rPr>
        <w:t>&gt; Spent some time on surgical workup list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Zubin Cavanaugh, MD, Palmetto Neurology Institute, Spokane, WA (RSM)</w:t>
      </w:r>
    </w:p>
    <w:p>
      <w:r>
        <w:rPr>
          <w:sz w:val="21"/>
        </w:rPr>
        <w:t>&gt; Noted that appeals process has improved somewhat and that this is not specific to any one product.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