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December 23, 2024   |   MSL: Dana Cho</w:t>
      </w:r>
    </w:p>
    <w:p>
      <w:r>
        <w:rPr>
          <w:b/>
          <w:sz w:val="21"/>
        </w:rPr>
        <w:t>HCP: Valentina Calderwood, MD, Foxglove Health Neurology, Missoula, MT (RSM)</w:t>
      </w:r>
    </w:p>
    <w:p>
      <w:r>
        <w:rPr>
          <w:sz w:val="21"/>
        </w:rPr>
      </w:r>
    </w:p>
    <w:p>
      <w:r>
        <w:rPr>
          <w:sz w:val="21"/>
        </w:rPr>
        <w:t>Stopped by at the end of the clinic list for a twenty-minute conversation.</w:t>
      </w:r>
    </w:p>
    <w:p>
      <w:r>
        <w:rPr>
          <w:sz w:val="21"/>
        </w:rPr>
      </w:r>
    </w:p>
    <w:p>
      <w:r>
        <w:rPr>
          <w:sz w:val="21"/>
        </w:rPr>
        <w:t>Onboarding one of the nurse practitioners is the current preoccupation here.</w:t>
      </w:r>
    </w:p>
    <w:p>
      <w:r>
        <w:rPr>
          <w:sz w:val="21"/>
        </w:rPr>
      </w:r>
    </w:p>
    <w:p>
      <w:r>
        <w:rPr>
          <w:sz w:val="21"/>
        </w:rPr>
        <w:t>Formulary questions remains the slowest step, which came up as a general frustration.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