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January 23, 2025   |   MSL: Ravi Chandrasek</w:t>
      </w:r>
    </w:p>
    <w:p>
      <w:r>
        <w:rPr>
          <w:b/>
          <w:sz w:val="21"/>
        </w:rPr>
        <w:t>HCP: Rohan Barrowman, MD, Beacon Hill Neurology Associates, Roanoke, VA (AR)</w:t>
      </w:r>
    </w:p>
    <w:p>
      <w:r>
        <w:rPr>
          <w:sz w:val="21"/>
        </w:rPr>
      </w:r>
    </w:p>
    <w:p>
      <w:r>
        <w:rPr>
          <w:sz w:val="21"/>
        </w:rPr>
        <w:t>Agreed to reconnect at a follow-up appointment; nothing that needed follow-up.</w:t>
      </w:r>
    </w:p>
    <w:p>
      <w:r>
        <w:rPr>
          <w:sz w:val="21"/>
        </w:rPr>
      </w:r>
    </w:p>
    <w:p>
      <w:r>
        <w:rPr>
          <w:sz w:val="21"/>
        </w:rPr>
        <w:t>Referral patterns into this clinic have changed, and the pediatric-to-adult transfers is a bigger share than it was.</w:t>
      </w:r>
    </w:p>
    <w:p>
      <w:r>
        <w:rPr>
          <w:sz w:val="21"/>
        </w:rPr>
      </w:r>
    </w:p>
    <w:p>
      <w:r>
        <w:rPr>
          <w:sz w:val="21"/>
        </w:rPr>
        <w:t>Monitoring intervals during titration are set by clinic routine here rather than by protocol.</w:t>
      </w:r>
    </w:p>
    <w:p>
      <w:r>
        <w:rPr>
          <w:sz w:val="21"/>
        </w:rPr>
      </w:r>
    </w:p>
    <w:p>
      <w:r>
        <w:rPr>
          <w:sz w:val="21"/>
        </w:rPr>
        <w:t>The practice lost a front-desk coordinator and has not backfilled, so routine follow-up slots looks better than last year.</w:t>
      </w:r>
    </w:p>
    <w:p>
      <w:r>
        <w:rPr>
          <w:sz w:val="21"/>
        </w:rPr>
      </w:r>
    </w:p>
    <w:p>
      <w:r>
        <w:rPr>
          <w:sz w:val="21"/>
        </w:rPr>
        <w:t>Described how long-standing patients is triaged now compared with before.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