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March 20, 2025   |   MSL: Yuki Tanabe</w:t>
      </w:r>
    </w:p>
    <w:p>
      <w:r>
        <w:rPr>
          <w:b/>
          <w:sz w:val="21"/>
        </w:rPr>
        <w:t>HCP: Jaromir Grierson, MD, Saltmarsh Neurological Care Center, Allentown, PA (RSM)</w:t>
      </w:r>
    </w:p>
    <w:p>
      <w:r>
        <w:rPr>
          <w:sz w:val="21"/>
        </w:rPr>
      </w:r>
    </w:p>
    <w:p>
      <w:r>
        <w:rPr>
          <w:sz w:val="21"/>
        </w:rPr>
        <w:t>Described how long-standing patients is triaged now compared with before.</w:t>
      </w:r>
    </w:p>
    <w:p>
      <w:r>
        <w:rPr>
          <w:sz w:val="21"/>
        </w:rPr>
      </w:r>
    </w:p>
    <w:p>
      <w:r>
        <w:rPr>
          <w:sz w:val="21"/>
        </w:rPr>
        <w:t>Asked whether I would be at the meeting later this year.</w:t>
      </w:r>
    </w:p>
    <w:p>
      <w:r>
        <w:rPr>
          <w:sz w:val="21"/>
        </w:rPr>
      </w:r>
    </w:p>
    <w:p>
      <w:r>
        <w:rPr>
          <w:sz w:val="21"/>
        </w:rPr>
        <w:t>Talked through the surgical workup list in general terms, without any specific case.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