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April 14, 2025   |   From: Sunny Okafor, Nadia Belhadj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Zubin Dunmore, MD, Ember Lake Medical Group, Roanoke, VA (RSM)</w:t>
      </w:r>
    </w:p>
    <w:p>
      <w:r>
        <w:rPr>
          <w:sz w:val="21"/>
        </w:rPr>
        <w:t>&gt; Caught a productive window over a quick coffee between patients.</w:t>
      </w:r>
    </w:p>
    <w:p>
      <w:r>
        <w:rPr>
          <w:sz w:val="21"/>
        </w:rPr>
        <w:t>&gt; The referral queue looks better than last year since the summer, which shapes how much time there is for anything else.</w:t>
      </w:r>
    </w:p>
    <w:p>
      <w:r>
        <w:rPr>
          <w:sz w:val="21"/>
        </w:rPr>
        <w:t>&gt; Referral patterns into this clinic have changed, and the pediatric-to-adult transfers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Anouk Brannigan, MD, Windrow Neuroscience Center, Eugene, OR (RSM)</w:t>
      </w:r>
    </w:p>
    <w:p>
      <w:r>
        <w:rPr>
          <w:sz w:val="21"/>
        </w:rPr>
        <w:t>&gt; A twenty-minute meeting in the reading room, first one this quarter.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Lukas Eastmond, MD, Thornfield Regional Epilepsy Program, Savannah, GA (RSM)</w:t>
      </w:r>
    </w:p>
    <w:p>
      <w:r>
        <w:rPr>
          <w:sz w:val="21"/>
        </w:rPr>
        <w:t>&gt; A rushed conversation by the scheduling desk, mostly logistics.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The practice lost two medical assistants and has not backfilled, so clinic throughput keeps slipping.</w:t>
      </w:r>
    </w:p>
    <w:p>
      <w:r>
        <w:rPr>
          <w:sz w:val="21"/>
        </w:rPr>
      </w:r>
    </w:p>
    <w:p>
      <w:r>
        <w:rPr>
          <w:b/>
          <w:sz w:val="21"/>
        </w:rPr>
        <w:t>Esperanza Jarreau, MD, Vantage Park Regional Epilepsy Program, Hartford, CT (RSM)</w:t>
      </w:r>
    </w:p>
    <w:p>
      <w:r>
        <w:rPr>
          <w:sz w:val="21"/>
        </w:rPr>
        <w:t>&gt; Talked through long-standing patients in general terms, without any specific case.</w:t>
      </w:r>
    </w:p>
    <w:p>
      <w:r>
        <w:rPr>
          <w:sz w:val="21"/>
        </w:rPr>
        <w:t>&gt; Most of the discussion was about the scheduling system, which went live without much warning.</w:t>
      </w:r>
    </w:p>
    <w:p>
      <w:r>
        <w:rPr>
          <w:sz w:val="21"/>
        </w:rPr>
        <w:t>&gt; Noted that formulary questions varies by payer and that this is not specific to any one product.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</w:r>
    </w:p>
    <w:p>
      <w:r>
        <w:rPr>
          <w:b/>
          <w:sz w:val="21"/>
        </w:rPr>
        <w:t>Odalys Corliss, MD, Ironwood Neurology Associates, Syracuse, NY (RSM)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Referral patterns into this clinic have changed, and long-standing patients is a bigger share than it was.</w:t>
      </w:r>
    </w:p>
    <w:p>
      <w:r>
        <w:rPr>
          <w:sz w:val="21"/>
        </w:rPr>
        <w:t>&gt; The practice lost a rotating resident and has not backfilled, so clinic throughput is slowly recovering.</w:t>
      </w:r>
    </w:p>
    <w:p>
      <w:r>
        <w:rPr>
          <w:sz w:val="21"/>
        </w:rPr>
        <w:t>&gt; Agreed to reconnect at a follow-up appointment; no product discussion.</w:t>
      </w:r>
    </w:p>
    <w:p>
      <w:r>
        <w:rPr>
          <w:sz w:val="21"/>
        </w:rPr>
      </w:r>
    </w:p>
    <w:p>
      <w:r>
        <w:rPr>
          <w:b/>
          <w:sz w:val="21"/>
        </w:rPr>
        <w:t>Anjali Rusnak, MD, Ironwood Neurology Associates, Provo, UT (RSM)</w:t>
      </w:r>
    </w:p>
    <w:p>
      <w:r>
        <w:rPr>
          <w:sz w:val="21"/>
        </w:rPr>
        <w:t>&gt; Caught a fragmented window in the corridor between patients.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The referral intake process is still being sorted out, and that took up the first part of the conversation.</w:t>
      </w:r>
    </w:p>
    <w:p>
      <w:r>
        <w:rPr>
          <w:sz w:val="21"/>
        </w:rPr>
        <w:t>&gt; Routine follow-up slots has stretched out since the summer, which shapes how much time there is for anything else.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Eloise Wycliffe, MD, Marbury Neurological Care Center, Providence, RI (RSM)</w:t>
      </w:r>
    </w:p>
    <w:p>
      <w:r>
        <w:rPr>
          <w:sz w:val="21"/>
        </w:rPr>
        <w:t>&gt; Caught a rushed window in the back office between patients.</w:t>
      </w:r>
    </w:p>
    <w:p>
      <w:r>
        <w:rPr>
          <w:sz w:val="21"/>
        </w:rPr>
        <w:t>&gt; Agreed to reconnect at the next visit; no materials requested.</w:t>
      </w:r>
    </w:p>
    <w:p>
      <w:r>
        <w:rPr>
          <w:sz w:val="21"/>
        </w:rPr>
        <w:t>&gt; Described how the pediatric-to-adult transfers is triaged now compared with before.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Ulrike Wetherby, MD, Juniper Flats Neurology Partners, Fayetteville, NC (RSM)</w:t>
      </w:r>
    </w:p>
    <w:p>
      <w:r>
        <w:rPr>
          <w:sz w:val="21"/>
        </w:rPr>
        <w:t>&gt; The scheduling system changed again last month, and that took up the first part of the conversation.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  <w:t>&gt; Formulary questions varies by payer, which came up as a general frustration.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