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June 14, 2025   |   MSL: Yuki Tanabe</w:t>
      </w:r>
    </w:p>
    <w:p>
      <w:r>
        <w:rPr>
          <w:b/>
          <w:sz w:val="21"/>
        </w:rPr>
        <w:t>HCP: Mairead Barrowman, MD, Foxglove Health Neurology, Eugene, OR (RSM)</w:t>
      </w:r>
    </w:p>
    <w:p>
      <w:r>
        <w:rPr>
          <w:sz w:val="21"/>
        </w:rPr>
      </w:r>
    </w:p>
    <w:p>
      <w:r>
        <w:rPr>
          <w:sz w:val="21"/>
        </w:rPr>
        <w:t>Titration scheduling is handled by nursing staff, which the practice finds workable.</w:t>
      </w:r>
    </w:p>
    <w:p>
      <w:r>
        <w:rPr>
          <w:sz w:val="21"/>
        </w:rPr>
      </w:r>
    </w:p>
    <w:p>
      <w:r>
        <w:rPr>
          <w:sz w:val="21"/>
        </w:rPr>
        <w:t>Most of the discussion was about the prior-authorization workflow, which changed again last month.</w:t>
      </w:r>
    </w:p>
    <w:p>
      <w:r>
        <w:rPr>
          <w:sz w:val="21"/>
        </w:rPr>
      </w:r>
    </w:p>
    <w:p>
      <w:r>
        <w:rPr>
          <w:sz w:val="21"/>
        </w:rPr>
        <w:t>Asked me to send a concise interaction summary for elderly patients on several concomitant medications.</w:t>
      </w:r>
    </w:p>
    <w:p>
      <w:r>
        <w:rPr>
          <w:sz w:val="21"/>
        </w:rPr>
      </w:r>
    </w:p>
    <w:p>
      <w:r>
        <w:rPr>
          <w:sz w:val="21"/>
        </w:rPr>
        <w:t>Closed there — no specific request.</w:t>
      </w:r>
    </w:p>
    <w:p>
      <w:r>
        <w:rPr>
          <w:sz w:val="21"/>
        </w:rPr>
      </w:r>
    </w:p>
    <w:p>
      <w:r>
        <w:rPr>
          <w:sz w:val="21"/>
        </w:rPr>
        <w:t>Referenced a case series someone forwarded in passing.</w:t>
      </w:r>
    </w:p>
    <w:p>
      <w:r>
        <w:rPr>
          <w:sz w:val="21"/>
        </w:rPr>
      </w:r>
    </w:p>
    <w:p>
      <w:r>
        <w:rPr>
          <w:sz w:val="21"/>
        </w:rPr>
        <w:t>The practice lost a rotating resident and has not backfilled, so routine follow-up slots looks better than last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