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July 12, 2025   |   From: Dana Cho,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Leonie Nakagawa, MD, Ironwood Neurology Associates, Fort Wayne, IN (RSM)</w:t>
      </w:r>
    </w:p>
    <w:p>
      <w:r>
        <w:rPr>
          <w:sz w:val="21"/>
        </w:rPr>
        <w:t>&gt; Caught a rushed window between clinic blocks between patients.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  <w:t>&gt; Was pleased to report that another refractory adult is holding steady on the current regimen.</w:t>
      </w:r>
    </w:p>
    <w:p>
      <w:r>
        <w:rPr>
          <w:sz w:val="21"/>
        </w:rPr>
      </w:r>
    </w:p>
    <w:p>
      <w:r>
        <w:rPr>
          <w:b/>
          <w:sz w:val="21"/>
        </w:rPr>
        <w:t>Lukas Tavernier, MD, Vantage Park Regional Epilepsy Program, Boise, ID (RSM)</w:t>
      </w:r>
    </w:p>
    <w:p>
      <w:r>
        <w:rPr>
          <w:sz w:val="21"/>
        </w:rPr>
        <w:t>&gt; Caught a compressed window in the shared office between patients.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scheduling system changed again last month,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Nikolai Norrington, MD, Cedar Ridge Regional Epilepsy Program, Duluth, MN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Esperanza Jarreau, MD, Vantage Park Regional Epilepsy Program, Hartford, CT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Quentin Grierson, MD, Northbrook Neurology Institute, Madison, WI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  <w:t>&gt; Onboarding a front-desk coordinator is the current preoccupation here.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Rasmus Cavanaugh, MD, Bayview Health Neurology, Boise, ID (RSM)</w:t>
      </w:r>
    </w:p>
    <w:p>
      <w:r>
        <w:rPr>
          <w:sz w:val="21"/>
        </w:rPr>
        <w:t>&gt; Agreed to reconnect at the next visit; nothing actionable this visit.</w:t>
      </w:r>
    </w:p>
    <w:p>
      <w:r>
        <w:rPr>
          <w:sz w:val="21"/>
        </w:rPr>
        <w:t>&gt; The practice lost a rotating resident and has not backfilled, so routine follow-up slots keeps slipping.</w:t>
      </w:r>
    </w:p>
    <w:p>
      <w:r>
        <w:rPr>
          <w:sz w:val="21"/>
        </w:rPr>
        <w:t>&gt; Wanted to pass along that one adult who had exhausted the usual combinations is now doing markedly better.</w:t>
      </w:r>
    </w:p>
    <w:p>
      <w:r>
        <w:rPr>
          <w:sz w:val="21"/>
        </w:rPr>
      </w:r>
    </w:p>
    <w:p>
      <w:r>
        <w:rPr>
          <w:b/>
          <w:sz w:val="21"/>
        </w:rPr>
        <w:t>Alastair Harkness, MD, Quarry Hill Epilepsy Center, Scranton, PA (RSM)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  <w:t>&gt; Onboarding the clinic pharmacist is the current preoccupation here.</w:t>
      </w:r>
    </w:p>
    <w:p>
      <w:r>
        <w:rPr>
          <w:sz w:val="21"/>
        </w:rPr>
        <w:t>&gt; Spent some time on newly referred patients and how workup decisions get sequenced.</w:t>
      </w:r>
    </w:p>
    <w:p>
      <w:r>
        <w:rPr>
          <w:sz w:val="21"/>
        </w:rPr>
        <w:t>&gt; The practice lost two medical assistants and has not backfilled, so the referral queue looks better than last year.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Rohan Harkness, MD, Riverstone Comprehensive Epilepsy Clinic, Grand Rapids, MI (RSM)</w:t>
      </w:r>
    </w:p>
    <w:p>
      <w:r>
        <w:rPr>
          <w:sz w:val="21"/>
        </w:rPr>
        <w:t>&gt; A half-hour meeting by the scheduling desk, first one this quarter.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Noted an adult complaining of unsteadiness since the dose increase.</w:t>
      </w:r>
    </w:p>
    <w:p>
      <w:r>
        <w:rPr>
          <w:sz w:val="21"/>
        </w:rPr>
        <w:t>&gt; The patient portal has not settled,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Hadley Wycliffe, MD, Northbrook Neurology Institute, Peoria, IL (RSM)</w:t>
      </w:r>
    </w:p>
    <w:p>
      <w:r>
        <w:rPr>
          <w:sz w:val="21"/>
        </w:rPr>
        <w:t>&gt; A brief conversation at the end of the clinic list, mostly logistics.</w:t>
      </w:r>
    </w:p>
    <w:p>
      <w:r>
        <w:rPr>
          <w:sz w:val="21"/>
        </w:rPr>
        <w:t>&gt; Said flatly that there is no patient group this would not help.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Anjali Larkspur, MD, Harborlight Epilepsy Center, Lakeland, FL (RSM)</w:t>
      </w:r>
    </w:p>
    <w:p>
      <w:r>
        <w:rPr>
          <w:sz w:val="21"/>
        </w:rPr>
        <w:t>&gt; An unhurried visit at the end of the clinic list; the schedule was tight.</w:t>
      </w:r>
    </w:p>
    <w:p>
      <w:r>
        <w:rPr>
          <w:sz w:val="21"/>
        </w:rPr>
        <w:t>&gt; Onboarding the clinic pharmacist is the current preoccupation here.</w:t>
      </w:r>
    </w:p>
    <w:p>
      <w:r>
        <w:rPr>
          <w:sz w:val="21"/>
        </w:rPr>
        <w:t>&gt; Most of the discussion was about the prior-authorization workflow, which is still being sorted out.</w:t>
      </w:r>
    </w:p>
    <w:p>
      <w:r>
        <w:rPr>
          <w:sz w:val="21"/>
        </w:rPr>
        <w:t>&gt; Would like the drug-drug interaction table for geriatric polypharmacy cases.</w:t>
      </w:r>
    </w:p>
    <w:p>
      <w:r>
        <w:rPr>
          <w:sz w:val="21"/>
        </w:rPr>
      </w:r>
    </w:p>
    <w:p>
      <w:r>
        <w:rPr>
          <w:b/>
          <w:sz w:val="21"/>
        </w:rPr>
        <w:t>Cormac Quintrell, MD, Riverstone Comprehensive Epilepsy Clinic, Chattanooga, TN (RSM)</w:t>
      </w:r>
    </w:p>
    <w:p>
      <w:r>
        <w:rPr>
          <w:sz w:val="21"/>
        </w:rPr>
        <w:t>&gt; Caught a short window in the reading room between patients.</w:t>
      </w:r>
    </w:p>
    <w:p>
      <w:r>
        <w:rPr>
          <w:sz w:val="21"/>
        </w:rPr>
        <w:t>&gt; Noted that benefit checks has improved somewhat and that this is not specific to any one product.</w:t>
      </w:r>
    </w:p>
    <w:p>
      <w:r>
        <w:rPr>
          <w:sz w:val="21"/>
        </w:rPr>
        <w:t>&gt; The practice lost a rotating resident and has not backfilled, so clinic throughput keeps slipping.</w:t>
      </w:r>
    </w:p>
    <w:p>
      <w:r>
        <w:rPr>
          <w:sz w:val="21"/>
        </w:rPr>
      </w:r>
    </w:p>
    <w:p>
      <w:r>
        <w:rPr>
          <w:b/>
          <w:sz w:val="21"/>
        </w:rPr>
        <w:t>Kenji Dunmore, MD, Windrow Neuroscience Center, Manchester, NH (RSM)</w:t>
      </w:r>
    </w:p>
    <w:p>
      <w:r>
        <w:rPr>
          <w:sz w:val="21"/>
        </w:rPr>
        <w:t>&gt; Most of the discussion was about the new charting templates, which went live without much warning.</w:t>
      </w:r>
    </w:p>
    <w:p>
      <w:r>
        <w:rPr>
          <w:sz w:val="21"/>
        </w:rPr>
        <w:t>&gt; Asked me to send a one-page interaction reference for the geriatric panel.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The practice lost two medical assistants and has not backfilled, so clinic throughput has stretched out.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