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January 12, 2026   |   From: Sam Becker, Rachel Suh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Yolanda Reyes, MD, Copper Mesa Neurology, Mesa, AZ (RSM)</w:t>
      </w:r>
    </w:p>
    <w:p>
      <w:r>
        <w:rPr>
          <w:sz w:val="21"/>
        </w:rPr>
        <w:t>&gt; Short visit, mostly logistics. Down two MAs since Nov, front desk covering intake.</w:t>
      </w:r>
    </w:p>
    <w:p>
      <w:r>
        <w:rPr>
          <w:sz w:val="21"/>
        </w:rPr>
        <w:t>&gt; New pt backlog out past ten weeks. Says f/u appt slots get eaten first when someone calls out.</w:t>
      </w:r>
    </w:p>
    <w:p>
      <w:r>
        <w:rPr>
          <w:sz w:val="21"/>
        </w:rPr>
        <w:t>&gt; No requests this time. Keeping visits brief until staffing settles.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Vented about the EHR seizure diary template. Free text only, no count feild, so frequency ends up buried in the narrative.</w:t>
      </w:r>
    </w:p>
    <w:p>
      <w:r>
        <w:rPr>
          <w:sz w:val="21"/>
        </w:rPr>
        <w:t>&gt; Says any chart review means reading every note line by line. Wants structured fields, IT queue is long.</w:t>
      </w:r>
    </w:p>
    <w:p>
      <w:r>
        <w:rPr>
          <w:sz w:val="21"/>
        </w:rPr>
        <w:t>&gt; Nothing to action. Logged for context only.</w:t>
      </w:r>
    </w:p>
    <w:p>
      <w:r>
        <w:rPr>
          <w:sz w:val="21"/>
        </w:rPr>
      </w:r>
    </w:p>
    <w:p>
      <w:r>
        <w:rPr>
          <w:b/>
          <w:sz w:val="21"/>
        </w:rPr>
        <w:t>Katherine Ost, MD, Sonoran Neuroscience Institute, Tucson, AZ (RSM)</w:t>
      </w:r>
    </w:p>
    <w:p>
      <w:r>
        <w:rPr>
          <w:sz w:val="21"/>
        </w:rPr>
        <w:t>&gt; Met in hallway, clinic building half under construction. Neuro clinic on second floor thru March.</w:t>
      </w:r>
    </w:p>
    <w:p>
      <w:r>
        <w:rPr>
          <w:sz w:val="21"/>
        </w:rPr>
        <w:t>&gt; Main complaint was parking - staff lot closed, shuttle runs late. Told me to allow extra time next visit.</w:t>
      </w:r>
    </w:p>
    <w:p>
      <w:r>
        <w:rPr>
          <w:sz w:val="21"/>
        </w:rPr>
        <w:t>&gt; No clinical discussion.</w:t>
      </w:r>
    </w:p>
    <w:p>
      <w:r>
        <w:rPr>
          <w:sz w:val="21"/>
        </w:rPr>
      </w:r>
    </w:p>
    <w:p>
      <w:r>
        <w:rPr>
          <w:b/>
          <w:sz w:val="21"/>
        </w:rPr>
        <w:t>Renee Calloway, MD, Palmetto Neurology Associates, Charleston, SC (RSM)</w:t>
      </w:r>
    </w:p>
    <w:p>
      <w:r>
        <w:rPr>
          <w:sz w:val="21"/>
        </w:rPr>
        <w:t>&gt; Longer than planned. Topic was the adolescent handoff into adult neuro.</w:t>
      </w:r>
    </w:p>
    <w:p>
      <w:r>
        <w:rPr>
          <w:sz w:val="21"/>
        </w:rPr>
        <w:t>&gt; Estimated three or four teens in the panel each year hit the same wall: two failed ASMs, still seizing, and no access to cenobamate until age 18.</w:t>
      </w:r>
    </w:p>
    <w:p>
      <w:r>
        <w:rPr>
          <w:sz w:val="21"/>
        </w:rPr>
        <w:t>&gt; Says families ask what changes at 18 and there is no good answer. I confirmed CNB label is adult only, did not discuss use below 18.</w:t>
      </w:r>
    </w:p>
    <w:p>
      <w:r>
        <w:rPr>
          <w:sz w:val="21"/>
        </w:rPr>
        <w:t>&gt; Flagging as recurring unmet need. Second time from this clinic.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Quick check-in end of day. Volume up over last quarter, mostly outside referrals.</w:t>
      </w:r>
    </w:p>
    <w:p>
      <w:r>
        <w:rPr>
          <w:sz w:val="21"/>
        </w:rPr>
        <w:t>&gt; Two new fellows starting - more slots, slower notes. Expects the backlog to even out by spring.</w:t>
      </w:r>
    </w:p>
    <w:p>
      <w:r>
        <w:rPr>
          <w:sz w:val="21"/>
        </w:rPr>
        <w:t>&gt; Nothing requested. Next visit end of Feb.</w:t>
      </w:r>
    </w:p>
    <w:p>
      <w:r>
        <w:rPr>
          <w:sz w:val="21"/>
        </w:rPr>
      </w:r>
    </w:p>
    <w:p>
      <w:r>
        <w:rPr>
          <w:b/>
          <w:sz w:val="21"/>
        </w:rPr>
        <w:t>Silvio Vasquez-Lund, MD, Kestrel Comprehensive Epilepsy Clinic, Reno, NV (AR)</w:t>
      </w:r>
    </w:p>
    <w:p>
      <w:r>
        <w:rPr>
          <w:sz w:val="21"/>
        </w:rPr>
        <w:t>&gt; Mentioned review that circulated on the service but did not raise any specific finding.</w:t>
      </w:r>
    </w:p>
    <w:p>
      <w:r>
        <w:rPr>
          <w:sz w:val="21"/>
        </w:rPr>
        <w:t>&gt; The new charting templates changed again last month, and that took up first part of convo.</w:t>
      </w:r>
    </w:p>
    <w:p>
      <w:r>
        <w:rPr>
          <w:sz w:val="21"/>
        </w:rPr>
        <w:t>&gt; Coverage paperwork remains slowest step, which came up as a general frustration.</w:t>
      </w:r>
    </w:p>
    <w:p>
      <w:r>
        <w:rPr>
          <w:sz w:val="21"/>
        </w:rPr>
        <w:t>&gt; Most of the discussion was about the referral intake process, which went live without much warning.</w:t>
      </w:r>
    </w:p>
    <w:p>
      <w:r>
        <w:rPr>
          <w:sz w:val="21"/>
        </w:rPr>
        <w:t>&gt; Asked whether anything is moving for how families of Lennox-Gastaut patients keep asking what else exists.</w:t>
      </w:r>
    </w:p>
    <w:p>
      <w:r>
        <w:rPr>
          <w:sz w:val="21"/>
        </w:rPr>
      </w:r>
    </w:p>
    <w:p>
      <w:r>
        <w:rPr>
          <w:b/>
          <w:sz w:val="21"/>
        </w:rPr>
        <w:t>Odalys Oakhurst, MD, Northgate Neurology Partners, Akron, OH (RSM)</w:t>
      </w:r>
    </w:p>
    <w:p>
      <w:r>
        <w:rPr>
          <w:sz w:val="21"/>
        </w:rPr>
        <w:t>&gt; Stopped by at the nurses' station for full convo.</w:t>
      </w:r>
    </w:p>
    <w:p>
      <w:r>
        <w:rPr>
          <w:sz w:val="21"/>
        </w:rPr>
        <w:t>&gt; Referral patterns into this clinic have changed, and newly referred patients is bigger share than it was.</w:t>
      </w:r>
    </w:p>
    <w:p>
      <w:r>
        <w:rPr>
          <w:sz w:val="21"/>
        </w:rPr>
        <w:t>&gt; Most of the discussion was about the prior-authorization workflow, which changed again last month.</w:t>
      </w:r>
    </w:p>
    <w:p>
      <w:r>
        <w:rPr>
          <w:sz w:val="21"/>
        </w:rPr>
        <w:t>&gt; Raised the gap for Lennox-Gastaut patients, described as the most difficult conversation in this clinic.</w:t>
      </w:r>
    </w:p>
    <w:p>
      <w:r>
        <w:rPr>
          <w:sz w:val="21"/>
        </w:rPr>
        <w:t>&gt; Routine follow-up slots has stretched out since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Rosalind Wainwright, MD, Sable Creek Medical Group, Syracuse, NY (RSM)</w:t>
      </w:r>
    </w:p>
    <w:p>
      <w:r>
        <w:rPr>
          <w:sz w:val="21"/>
        </w:rPr>
        <w:t>&gt; Formulary questions is handled by one person here, which came up as a general frustration.</w:t>
      </w:r>
    </w:p>
    <w:p>
      <w:r>
        <w:rPr>
          <w:sz w:val="21"/>
        </w:rPr>
        <w:t>&gt; Wants references on the generalized tonic-clonic population, if available.</w:t>
      </w:r>
    </w:p>
    <w:p>
      <w:r>
        <w:rPr>
          <w:sz w:val="21"/>
        </w:rPr>
        <w:t>&gt; Described preference for slower titration in general, unrelated to any particular patient.</w:t>
      </w:r>
    </w:p>
    <w:p>
      <w:r>
        <w:rPr>
          <w:sz w:val="21"/>
        </w:rPr>
        <w:t>&gt; Spent the last part of the visit on several patients whose seizures are generalized rather than focal, and therefore out of scope.</w:t>
      </w:r>
    </w:p>
    <w:p>
      <w:r>
        <w:rPr>
          <w:sz w:val="21"/>
        </w:rPr>
        <w:t>&gt; Left it at that, with f/u appt to be scheduled.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Camila Ostrander, MD, Silver Creek Medical Group, Madison, WI (RSM)</w:t>
      </w:r>
    </w:p>
    <w:p>
      <w:r>
        <w:rPr>
          <w:sz w:val="21"/>
        </w:rPr>
        <w:t>&gt; Caught a clipped window at nurses' station between pts.</w:t>
      </w:r>
    </w:p>
    <w:p>
      <w:r>
        <w:rPr>
          <w:sz w:val="21"/>
        </w:rPr>
        <w:t>&gt; Asked whether I could bring references on the generalized tonic-clonic population, if available.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  <w:t>&gt; Wanted to register the mismatch between the focal-only indication and the generalized cases filling this clinic.</w:t>
      </w:r>
    </w:p>
    <w:p>
      <w:r>
        <w:rPr>
          <w:sz w:val="21"/>
        </w:rPr>
        <w:t>&gt; Referral patterns into this clinic have changed, and refractory group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Nikolai Barrowman, MD, Bluestem Comprehensive Epilepsy Clinic, Springfield, MO (AR)</w:t>
      </w:r>
    </w:p>
    <w:p>
      <w:r>
        <w:rPr>
          <w:sz w:val="21"/>
        </w:rPr>
        <w:t>&gt; Left it at that, with call later this month to be scheduled.</w:t>
      </w:r>
    </w:p>
    <w:p>
      <w:r>
        <w:rPr>
          <w:sz w:val="21"/>
        </w:rPr>
        <w:t>&gt; The appeals process is handled by one person here, which came up as general frustration.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Volunteered that the longest-standing refractory patient in this panel has had the quietest stretch in years.</w:t>
      </w:r>
    </w:p>
    <w:p>
      <w:r>
        <w:rPr>
          <w:sz w:val="21"/>
        </w:rPr>
      </w:r>
    </w:p>
    <w:p>
      <w:r>
        <w:rPr>
          <w:b/>
          <w:sz w:val="21"/>
        </w:rPr>
        <w:t>Zubin Grierson, MD, Marbury Neurological Care Center, Tucson, AZ (RSM)</w:t>
      </w:r>
    </w:p>
    <w:p>
      <w:r>
        <w:rPr>
          <w:sz w:val="21"/>
        </w:rPr>
        <w:t>&gt; Caught productive window at nurses' station between pts.</w:t>
      </w:r>
    </w:p>
    <w:p>
      <w:r>
        <w:rPr>
          <w:sz w:val="21"/>
        </w:rPr>
        <w:t>&gt; Formulary questions takes longer than the clinical decision, which came up as general frustration.</w:t>
      </w:r>
    </w:p>
    <w:p>
      <w:r>
        <w:rPr>
          <w:sz w:val="21"/>
        </w:rPr>
        <w:t>&gt; Volunteered the generalized patients who would be candidates on every criterion except the indication.</w:t>
      </w:r>
    </w:p>
    <w:p>
      <w:r>
        <w:rPr>
          <w:sz w:val="21"/>
        </w:rPr>
        <w:t>&gt; Mentioned case series someone forwarded but did not raise any specific finding.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</w:r>
    </w:p>
    <w:p>
      <w:r>
        <w:rPr>
          <w:b/>
          <w:sz w:val="21"/>
        </w:rPr>
        <w:t>Gaspar Ostrander, MD, Riverstone Comprehensive Epilepsy Clinic, Burlington, VT (RSM)</w:t>
      </w:r>
    </w:p>
    <w:p>
      <w:r>
        <w:rPr>
          <w:sz w:val="21"/>
        </w:rPr>
        <w:t>&gt; A rushed visit outside EEG suite; schedule was tight.</w:t>
      </w:r>
    </w:p>
    <w:p>
      <w:r>
        <w:rPr>
          <w:sz w:val="21"/>
        </w:rPr>
        <w:t>&gt; Titration habits came up in general terms; no specifics were discussed adn none were offered.</w:t>
      </w:r>
    </w:p>
    <w:p>
      <w:r>
        <w:rPr>
          <w:sz w:val="21"/>
        </w:rPr>
        <w:t>&gt; Described how pediatric-to-adult transfers is triaged now compared wtih before.</w:t>
      </w:r>
    </w:p>
    <w:p>
      <w:r>
        <w:rPr>
          <w:sz w:val="21"/>
        </w:rPr>
        <w:t>&gt; Described Lennox-Gastaut cases where every approved combination has already been exhausted.</w:t>
      </w:r>
    </w:p>
    <w:p>
      <w:r>
        <w:rPr>
          <w:sz w:val="21"/>
        </w:rPr>
      </w:r>
    </w:p>
    <w:p>
      <w:r>
        <w:rPr>
          <w:b/>
          <w:sz w:val="21"/>
        </w:rPr>
        <w:t>Felicity Bellweather, MD, Sandhill Neuroscience Center, Tacoma, WA (RSM)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The composition of newly referred pts has shifted over the last year or two.</w:t>
      </w:r>
    </w:p>
    <w:p>
      <w:r>
        <w:rPr>
          <w:sz w:val="21"/>
        </w:rPr>
        <w:t>&gt; Spent the last part of the visit on how well it works in focal epilepsy and how little that helps the generalized patients in this panel.</w:t>
      </w:r>
    </w:p>
    <w:p>
      <w:r>
        <w:rPr>
          <w:sz w:val="21"/>
        </w:rPr>
        <w:t>&gt; Noted that the appeals process varies by payer and that this is not specific to any one product.</w:t>
      </w:r>
    </w:p>
    <w:p>
      <w:r>
        <w:rPr>
          <w:sz w:val="21"/>
        </w:rPr>
        <w:t>&gt; Onboarding a front-desk coordinator is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Hadley Wycliffe, MD, Northbrook Neurology Institute, Peoria, IL (RSM)</w:t>
      </w:r>
    </w:p>
    <w:p>
      <w:r>
        <w:rPr>
          <w:sz w:val="21"/>
        </w:rPr>
        <w:t>&gt; A fragmented meeting in the back office, first one this quarter.</w:t>
      </w:r>
    </w:p>
    <w:p>
      <w:r>
        <w:rPr>
          <w:sz w:val="21"/>
        </w:rPr>
        <w:t>&gt; Noted the generalized patients who would be candidates on every criterion except the indication.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