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13, 2026   |   From: Sam Becker,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Short catch-up after grand rounds. Panel is mostly refractory adults, several followed for a decade plus.</w:t>
      </w:r>
    </w:p>
    <w:p>
      <w:r>
        <w:rPr>
          <w:sz w:val="21"/>
        </w:rPr>
        <w:t>&gt; Volunteered that the longest-standing refractory patient in the panel has had the quietest quarter in years since starting cenobamate.</w:t>
      </w:r>
    </w:p>
    <w:p>
      <w:r>
        <w:rPr>
          <w:sz w:val="21"/>
        </w:rPr>
        <w:t>&gt; Framed as one pt observation only. Said back that single cases dont generalize; logging it as individual experience, nothing more.</w:t>
      </w:r>
    </w:p>
    <w:p>
      <w:r>
        <w:rPr>
          <w:sz w:val="21"/>
        </w:rPr>
        <w:t>&gt; Diary habits unchanged - paper first, then scanned into the chart by staff.</w:t>
      </w:r>
    </w:p>
    <w:p>
      <w:r>
        <w:rPr>
          <w:sz w:val="21"/>
        </w:rPr>
        <w:t>&gt; Next touchpoint at dept mtg. 15 min slot, agenda already full.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Teaching talk only this visit. Runs journal club for the PGY3s every other Thurs, trying to move it to a lunch slot.</w:t>
      </w:r>
    </w:p>
    <w:p>
      <w:r>
        <w:rPr>
          <w:sz w:val="21"/>
        </w:rPr>
        <w:t>&gt; Gripe: fellows rotate out mid-block so the critical appraisal series never finishes.</w:t>
      </w:r>
    </w:p>
    <w:p>
      <w:r>
        <w:rPr>
          <w:sz w:val="21"/>
        </w:rPr>
        <w:t>&gt; Picked up two extra resident lectures this term. Prep time comes out of clinc admin time.</w:t>
      </w:r>
    </w:p>
    <w:p>
      <w:r>
        <w:rPr>
          <w:sz w:val="21"/>
        </w:rPr>
        <w:t>&gt; Nothing clinical raised. Cut short, called away to an EEG read.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Front desk down two schedulers since Feb. New referrals sitting 6-7 wks.</w:t>
      </w:r>
    </w:p>
    <w:p>
      <w:r>
        <w:rPr>
          <w:sz w:val="21"/>
        </w:rPr>
        <w:t>&gt; Triage is nurse-led for now. Follow-ups get bumped first, which the whole office dislikes.</w:t>
      </w:r>
    </w:p>
    <w:p>
      <w:r>
        <w:rPr>
          <w:sz w:val="21"/>
        </w:rPr>
        <w:t>&gt; Asked that visits stay under 10 min until the roles are backfilled. Fine by me.</w:t>
      </w:r>
    </w:p>
    <w:p>
      <w:r>
        <w:rPr>
          <w:sz w:val="21"/>
        </w:rPr>
        <w:t>&gt; No other topics. Fuller discussion pushed to next quarter.</w:t>
      </w:r>
    </w:p>
    <w:p>
      <w:r>
        <w:rPr>
          <w:sz w:val="21"/>
        </w:rPr>
      </w:r>
    </w:p>
    <w:p>
      <w:r>
        <w:rPr>
          <w:b/>
          <w:sz w:val="21"/>
        </w:rPr>
        <w:t>Peter Kowalczyk, MD, Green Mountain Neuroscience, Burlington, VT (RSM)</w:t>
      </w:r>
    </w:p>
    <w:p>
      <w:r>
        <w:rPr>
          <w:sz w:val="21"/>
        </w:rPr>
        <w:t>&gt; East wing is a construction zone thru summer. Clinic relocated to 2nd floor temporarily.</w:t>
      </w:r>
    </w:p>
    <w:p>
      <w:r>
        <w:rPr>
          <w:sz w:val="21"/>
        </w:rPr>
        <w:t>&gt; Main gripe is parking - staff lot closed, shuttle runs late, pts arriving 20 min behind.</w:t>
      </w:r>
    </w:p>
    <w:p>
      <w:r>
        <w:rPr>
          <w:sz w:val="21"/>
        </w:rPr>
        <w:t>&gt; Says drilling noise makes afternoon phone visits nearly impossible.</w:t>
      </w:r>
    </w:p>
    <w:p>
      <w:r>
        <w:rPr>
          <w:sz w:val="21"/>
        </w:rPr>
        <w:t>&gt; No clinical topics. Will try again once the move settles.</w:t>
      </w:r>
    </w:p>
    <w:p>
      <w:r>
        <w:rPr>
          <w:sz w:val="21"/>
        </w:rPr>
      </w:r>
    </w:p>
    <w:p>
      <w:r>
        <w:rPr>
          <w:b/>
          <w:sz w:val="21"/>
        </w:rPr>
        <w:t>Mairead Sandoval-Reyes, MD, Willowmere Neuroscience Center, Chattanooga, TN (RSM)</w:t>
      </w:r>
    </w:p>
    <w:p>
      <w:r>
        <w:rPr>
          <w:sz w:val="21"/>
        </w:rPr>
        <w:t>&gt; Nothing that needed follow-up. Safety items asked about and confirmed none.</w:t>
      </w:r>
    </w:p>
    <w:p>
      <w:r>
        <w:rPr>
          <w:sz w:val="21"/>
        </w:rPr>
        <w:t>&gt; Clinic throughput keeps slipping since summer, which shapes how much time there is for anything else.</w:t>
      </w:r>
    </w:p>
    <w:p>
      <w:r>
        <w:rPr>
          <w:sz w:val="21"/>
        </w:rPr>
        <w:t>&gt; Volunteered how well it works in focal epilepsy and how little that helps the generalized patients in this panel.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Darius Kirkpatrick, MD, Ironwood Neurology Associates, Akron, OH (RSM)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Spent the visit on the interaction checks required before starting anyone elderly, which slow the decision down.</w:t>
      </w:r>
    </w:p>
    <w:p>
      <w:r>
        <w:rPr>
          <w:sz w:val="21"/>
        </w:rPr>
        <w:t>&gt; Noted that appeals process takes longer than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Eamon Quintrell, MD, Fox Hollow Neurology Partners, Des Moines, IA (RSM)</w:t>
      </w:r>
    </w:p>
    <w:p>
      <w:r>
        <w:rPr>
          <w:sz w:val="21"/>
        </w:rPr>
        <w:t>&gt; A productive meeting in the workroom,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Spent most of the conversation on the 12-to-17 population, described as the place where the treatment gap is widest.</w:t>
      </w:r>
    </w:p>
    <w:p>
      <w:r>
        <w:rPr>
          <w:sz w:val="21"/>
        </w:rPr>
        <w:t>&gt; Onboarding front-desk coordinator is current preoccupation here.</w:t>
      </w:r>
    </w:p>
    <w:p>
      <w:r>
        <w:rPr>
          <w:sz w:val="21"/>
        </w:rPr>
        <w:t>&gt; Action item: anything shareable on the under-18 population.</w:t>
      </w:r>
    </w:p>
    <w:p>
      <w:r>
        <w:rPr>
          <w:sz w:val="21"/>
        </w:rPr>
      </w:r>
    </w:p>
    <w:p>
      <w:r>
        <w:rPr>
          <w:b/>
          <w:sz w:val="21"/>
        </w:rPr>
        <w:t>Fabian Galbraith, MD, Palmetto Neurology Institute, Akron, OH (RSM)</w:t>
      </w:r>
    </w:p>
    <w:p>
      <w:r>
        <w:rPr>
          <w:sz w:val="21"/>
        </w:rPr>
        <w:t>&gt; Talked through newly referred pts in general terms, without any specific case.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  <w:t>&gt; Described how newly referred pts is triaged now compared with before.</w:t>
      </w:r>
    </w:p>
    <w:p>
      <w:r>
        <w:rPr>
          <w:sz w:val="21"/>
        </w:rPr>
        <w:t>&gt; Would like whatever adolescent dosing or safety material exists, published or pending.</w:t>
      </w:r>
    </w:p>
    <w:p>
      <w:r>
        <w:rPr>
          <w:sz w:val="21"/>
        </w:rPr>
        <w:t>&gt; Spent most of the conversation on a 16-year-old who failed two medications and has nothing new available until adulthood.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Orla Wycliffe, MD, Highmoor Health Neurology, Little Rock, AR (RSM)</w:t>
      </w:r>
    </w:p>
    <w:p>
      <w:r>
        <w:rPr>
          <w:sz w:val="21"/>
        </w:rPr>
        <w:t>&gt; Stopped by in the conference room for a twenty-minute convo.</w:t>
      </w:r>
    </w:p>
    <w:p>
      <w:r>
        <w:rPr>
          <w:sz w:val="21"/>
        </w:rPr>
        <w:t>&gt; Framed it as a group of primary generalized patients with nothing comparable to offer.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The appeals process varies by payer, which came up as general frustration.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Ulrike Dellacroix, MD, Silver Creek Medical Group, Allentown, PA (RSM)</w:t>
      </w:r>
    </w:p>
    <w:p>
      <w:r>
        <w:rPr>
          <w:sz w:val="21"/>
        </w:rPr>
        <w:t>&gt; A compressed conversation in back office, mostly logistics.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Referral patterns into this clinic have changed, and refractory group is a bigger share than it was.</w:t>
      </w:r>
    </w:p>
    <w:p>
      <w:r>
        <w:rPr>
          <w:sz w:val="21"/>
        </w:rPr>
        <w:t>&gt; Agreed to reconnect at a call later this month; nothing actionable this visit.</w:t>
      </w:r>
    </w:p>
    <w:p>
      <w:r>
        <w:rPr>
          <w:sz w:val="21"/>
        </w:rPr>
        <w:t>&gt; Said the clearest limitation right now is how often the generalized tonic-clonic group comes up with no approved answer.</w:t>
      </w:r>
    </w:p>
    <w:p>
      <w:r>
        <w:rPr>
          <w:sz w:val="21"/>
        </w:rPr>
      </w:r>
    </w:p>
    <w:p>
      <w:r>
        <w:rPr>
          <w:b/>
          <w:sz w:val="21"/>
        </w:rPr>
        <w:t>Gaspar Brannigan, MD, Beacon Hill Neurology Associates, Tucson, AZ (RSM)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Described how newly referred pts is triaged now compared with before.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Framed the biggest gap in this panel as the steady trickle of drug-resistant teenagers for whom nothing on label has changed.</w:t>
      </w:r>
    </w:p>
    <w:p>
      <w:r>
        <w:rPr>
          <w:sz w:val="21"/>
        </w:rPr>
        <w:t>&gt; Asked whether I could bring anything shareable on the under-18 population.</w:t>
      </w:r>
    </w:p>
    <w:p>
      <w:r>
        <w:rPr>
          <w:sz w:val="21"/>
        </w:rPr>
      </w:r>
    </w:p>
    <w:p>
      <w:r>
        <w:rPr>
          <w:b/>
          <w:sz w:val="21"/>
        </w:rPr>
        <w:t>Bettina Wetherby, MD, Ember Lake Medical Group, Omaha, NE (AR)</w:t>
      </w:r>
    </w:p>
    <w:p>
      <w:r>
        <w:rPr>
          <w:sz w:val="21"/>
        </w:rPr>
        <w:t>&gt; A clipped visit in reading room; schedule was tight.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Described several patients whose seizures are generalized rather than focal, and therefore out of scope.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