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May 26, 2026   |   MSL: Yuki Tanabe</w:t>
      </w:r>
    </w:p>
    <w:p>
      <w:r>
        <w:rPr>
          <w:b/>
          <w:sz w:val="21"/>
        </w:rPr>
        <w:t>HCP: Jaromir Cavanaugh, MD, Granite Bay Epilepsy Center, Burlington, VT (AR)</w:t>
      </w:r>
    </w:p>
    <w:p>
      <w:r>
        <w:rPr>
          <w:sz w:val="21"/>
        </w:rPr>
      </w:r>
    </w:p>
    <w:p>
      <w:r>
        <w:rPr>
          <w:sz w:val="21"/>
        </w:rPr>
        <w:t>A fragmented meeting at the nurses' station, first one this quarter.</w:t>
      </w:r>
    </w:p>
    <w:p>
      <w:r>
        <w:rPr>
          <w:sz w:val="21"/>
        </w:rPr>
      </w:r>
    </w:p>
    <w:p>
      <w:r>
        <w:rPr>
          <w:sz w:val="21"/>
        </w:rPr>
        <w:t>Noted that formulary questions is handled by one person here and that this is not specific to any one product.</w:t>
      </w:r>
    </w:p>
    <w:p>
      <w:r>
        <w:rPr>
          <w:sz w:val="21"/>
        </w:rPr>
      </w:r>
    </w:p>
    <w:p>
      <w:r>
        <w:rPr>
          <w:sz w:val="21"/>
        </w:rPr>
        <w:t>Agreed to reconnect at a call later this month; no specific request.</w:t>
      </w:r>
    </w:p>
    <w:p>
      <w:r>
        <w:rPr>
          <w:sz w:val="21"/>
        </w:rPr>
      </w:r>
    </w:p>
    <w:p>
      <w:r>
        <w:rPr>
          <w:sz w:val="21"/>
        </w:rPr>
        <w:t>The composition of the refractory group has shifted over the last year or two.</w:t>
      </w:r>
    </w:p>
    <w:p>
      <w:r>
        <w:rPr>
          <w:sz w:val="21"/>
        </w:rPr>
      </w:r>
    </w:p>
    <w:p>
      <w:r>
        <w:rPr>
          <w:sz w:val="21"/>
        </w:rPr>
        <w:t>The travel schedule this year came up, and little else.</w:t>
      </w:r>
    </w:p>
    <w:p>
      <w:r>
        <w:rPr>
          <w:sz w:val="21"/>
        </w:rPr>
      </w:r>
    </w:p>
    <w:p>
      <w:r>
        <w:rPr>
          <w:sz w:val="21"/>
        </w:rPr>
        <w:t>Said the barrier in older adults is the burden of slow titration for older patients and their caregivers.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