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August 11, 2026   |   From: Rachel Suh, Sunny Okafor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Odalys Oakhurst, MD, Northgate Neurology Partners, Akron, OH (RSM)</w:t>
      </w:r>
    </w:p>
    <w:p>
      <w:r>
        <w:rPr>
          <w:sz w:val="21"/>
        </w:rPr>
        <w:t>&gt; Stopped by in the workroom for a twenty-minute conversation.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Volunteered referrals of teenagers with drug-resistant seizures arriving faster than the options do.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Esperanza Bellweather, MD, Thornfield Regional Epilepsy Program, Manchester, NH (AR)</w:t>
      </w:r>
    </w:p>
    <w:p>
      <w:r>
        <w:rPr>
          <w:sz w:val="21"/>
        </w:rPr>
        <w:t>&gt; A half-hour visit at the end of the clinic list; the schedule was tight.</w:t>
      </w:r>
    </w:p>
    <w:p>
      <w:r>
        <w:rPr>
          <w:sz w:val="21"/>
        </w:rPr>
        <w:t>&gt; Routine follow-up slots keeps slipping since the summer, which shapes how much time there is for anything else.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  <w:t>&gt; Spent most of the conversation on two teenage patients still seizing after multiple medications, with the label closing the door until 18.</w:t>
      </w:r>
    </w:p>
    <w:p>
      <w:r>
        <w:rPr>
          <w:sz w:val="21"/>
        </w:rPr>
      </w:r>
    </w:p>
    <w:p>
      <w:r>
        <w:rPr>
          <w:b/>
          <w:sz w:val="21"/>
        </w:rPr>
        <w:t>Eamon Quintrell, MD, Fox Hollow Neurology Partners, Des Moines, IA (RSM)</w:t>
      </w:r>
    </w:p>
    <w:p>
      <w:r>
        <w:rPr>
          <w:sz w:val="21"/>
        </w:rPr>
        <w:t>&gt; Caught a rushed window between clinic blocks between patients.</w:t>
      </w:r>
    </w:p>
    <w:p>
      <w:r>
        <w:rPr>
          <w:sz w:val="21"/>
        </w:rPr>
        <w:t>&gt; No specific request. Safety items asked about and confirmed none.</w:t>
      </w:r>
    </w:p>
    <w:p>
      <w:r>
        <w:rPr>
          <w:sz w:val="21"/>
        </w:rPr>
        <w:t>&gt; The composition of the pediatric-to-adult transfers has shifted over the last year or two.</w:t>
      </w:r>
    </w:p>
    <w:p>
      <w:r>
        <w:rPr>
          <w:sz w:val="21"/>
        </w:rPr>
        <w:t>&gt; Flagged the steady trickle of drug-resistant teenagers for whom nothing on label has changed.</w:t>
      </w:r>
    </w:p>
    <w:p>
      <w:r>
        <w:rPr>
          <w:sz w:val="21"/>
        </w:rPr>
        <w:t>&gt; Onboarding a front-desk coordinator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Imani Lindenmuth, MD, Sable Creek Medical Group, Lexington, KY (RSM)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The composition of the older half of the panel has shifted over the last year or two.</w:t>
      </w:r>
    </w:p>
    <w:p>
      <w:r>
        <w:rPr>
          <w:sz w:val="21"/>
        </w:rPr>
        <w:t>&gt; Said the hardest conversations in clinic are about the gap between what these adolescent patients need and what the label permits.</w:t>
      </w:r>
    </w:p>
    <w:p>
      <w:r>
        <w:rPr>
          <w:sz w:val="21"/>
        </w:rPr>
        <w:t>&gt; The practice lost two medical assistants and has not backfilled, so the new-patient backlog looks better than last year.</w:t>
      </w:r>
    </w:p>
    <w:p>
      <w:r>
        <w:rPr>
          <w:sz w:val="21"/>
        </w:rPr>
      </w:r>
    </w:p>
    <w:p>
      <w:r>
        <w:rPr>
          <w:b/>
          <w:sz w:val="21"/>
        </w:rPr>
        <w:t>Rosalind Ivanetti, MD, Saltmarsh Neurological Care Center, Fort Collins, CO (RSM)</w:t>
      </w:r>
    </w:p>
    <w:p>
      <w:r>
        <w:rPr>
          <w:sz w:val="21"/>
        </w:rPr>
        <w:t>&gt; The new charting templates changed again last month, and that took up the first part of the conversation.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Nothing that needed follow-up. Safety items asked about and confirmed none.</w:t>
      </w:r>
    </w:p>
    <w:p>
      <w:r>
        <w:rPr>
          <w:sz w:val="21"/>
        </w:rPr>
        <w:t>&gt; Spent most of the conversation on a 17-year-old whose regimen is clearly failing while the approved options are exhausted.</w:t>
      </w:r>
    </w:p>
    <w:p>
      <w:r>
        <w:rPr>
          <w:sz w:val="21"/>
        </w:rPr>
      </w:r>
    </w:p>
    <w:p>
      <w:r>
        <w:rPr>
          <w:b/>
          <w:sz w:val="21"/>
        </w:rPr>
        <w:t>Selin Danforth, MD, Willowmere Neuroscience Center, Bakersfield, CA (RSM)</w:t>
      </w:r>
    </w:p>
    <w:p>
      <w:r>
        <w:rPr>
          <w:sz w:val="21"/>
        </w:rPr>
        <w:t>&gt; A brief conversation at teh end of the clinic list, mostly logistics.</w:t>
      </w:r>
    </w:p>
    <w:p>
      <w:r>
        <w:rPr>
          <w:sz w:val="21"/>
        </w:rPr>
        <w:t>&gt; The composition of newly referred patients has shifted over teh last year or two.</w:t>
      </w:r>
    </w:p>
    <w:p>
      <w:r>
        <w:rPr>
          <w:sz w:val="21"/>
        </w:rPr>
        <w:t>&gt; Wanted it on the record that adolescent refractory focal epilepsy as an unmet need that keeps appearing in this clinic.</w:t>
      </w:r>
    </w:p>
    <w:p>
      <w:r>
        <w:rPr>
          <w:sz w:val="21"/>
        </w:rPr>
        <w:t>&gt; Closed there — nothing that needed follow-up.</w:t>
      </w:r>
    </w:p>
    <w:p>
      <w:r>
        <w:rPr>
          <w:sz w:val="21"/>
        </w:rPr>
      </w:r>
    </w:p>
    <w:p>
      <w:r>
        <w:rPr>
          <w:b/>
          <w:sz w:val="21"/>
        </w:rPr>
        <w:t>Yesenia Kirkpatrick, MD, Cedar Ridge Regional Epilepsy Program, Scranton, PA (AR)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Asked me to carry back internally a 17-year-old whose regimen is clearly failing while the approved options are exhausted.</w:t>
      </w:r>
    </w:p>
    <w:p>
      <w:r>
        <w:rPr>
          <w:sz w:val="21"/>
        </w:rPr>
        <w:t>&gt; Onboarding a front-desk coordinator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Lachlan Stanhope, MD, Palmetto Neurology Institute, Syracuse, NY (AR)</w:t>
      </w:r>
    </w:p>
    <w:p>
      <w:r>
        <w:rPr>
          <w:sz w:val="21"/>
        </w:rPr>
        <w:t>&gt; A rushed conversation outside the EEG suite, mostly logistics.</w:t>
      </w:r>
    </w:p>
    <w:p>
      <w:r>
        <w:rPr>
          <w:sz w:val="21"/>
        </w:rPr>
        <w:t>&gt; Most of the discussion was about the scheduling system, which went live without much warning.</w:t>
      </w:r>
    </w:p>
    <w:p>
      <w:r>
        <w:rPr>
          <w:sz w:val="21"/>
        </w:rPr>
        <w:t>&gt; Spent most of the conversation on the steady trickle of drug-resistant teenagers for whom nothing on label has changed.</w:t>
      </w:r>
    </w:p>
    <w:p>
      <w:r>
        <w:rPr>
          <w:sz w:val="21"/>
        </w:rPr>
      </w:r>
    </w:p>
    <w:p>
      <w:r>
        <w:rPr>
          <w:b/>
          <w:sz w:val="21"/>
        </w:rPr>
        <w:t>Eloise Cavanaugh, MD, Marbury Neurological Care Center, Trenton, NJ (RSM)</w:t>
      </w:r>
    </w:p>
    <w:p>
      <w:r>
        <w:rPr>
          <w:sz w:val="21"/>
        </w:rPr>
        <w:t>&gt; A brief meeting by the scheduling desk, first one this quarter.</w:t>
      </w:r>
    </w:p>
    <w:p>
      <w:r>
        <w:rPr>
          <w:sz w:val="21"/>
        </w:rPr>
        <w:t>&gt; Nothing actionable this visit. Safety items asked about and confirmed none.</w:t>
      </w:r>
    </w:p>
    <w:p>
      <w:r>
        <w:rPr>
          <w:sz w:val="21"/>
        </w:rPr>
        <w:t>&gt; Referral patterns into this clinic have changed, and the older half of the panel is a bigger share than it was.</w:t>
      </w:r>
    </w:p>
    <w:p>
      <w:r>
        <w:rPr>
          <w:sz w:val="21"/>
        </w:rPr>
        <w:t>&gt; Flagged how uncomfortable it feels to park adolescent refractory cases until a birthday.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</w:r>
    </w:p>
    <w:p>
      <w:r>
        <w:rPr>
          <w:b/>
          <w:sz w:val="21"/>
        </w:rPr>
        <w:t>Lukas Fenwicke, MD, Willowmere Neuroscience Center, Boise, ID (RSM)</w:t>
      </w:r>
    </w:p>
    <w:p>
      <w:r>
        <w:rPr>
          <w:sz w:val="21"/>
        </w:rPr>
        <w:t>&gt; Caught a half-hour window over a quick coffee between patients.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Described the steady trickle of drug-resistant teenagers for whom nothing on label has changed.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