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62661"/>
          <w:sz w:val="44"/>
        </w:rPr>
        <w:t>AI Pioneer</w:t>
      </w:r>
    </w:p>
    <w:p>
      <w:pPr>
        <w:spacing w:after="0"/>
      </w:pPr>
      <w:r>
        <w:rPr>
          <w:b w:val="0"/>
          <w:color w:val="555555"/>
          <w:sz w:val="24"/>
        </w:rPr>
        <w:t>DELPHi: 의료진 면담 기록에서 시장 신호를 세고, 공개 근거로 확인하고, 사람이 결정하는 시스템</w:t>
      </w:r>
    </w:p>
    <w:p>
      <w:pPr>
        <w:spacing w:after="240"/>
      </w:pPr>
      <w:r>
        <w:rPr>
          <w:b w:val="0"/>
          <w:color w:val="555555"/>
          <w:sz w:val="22"/>
        </w:rPr>
        <w:t>Korea Agentic AI Hackathon 온라인 예선 제출 · 2026년 9월 28일</w:t>
      </w:r>
    </w:p>
    <w:tbl>
      <w:tblPr>
        <w:tblStyle w:val="TableGrid"/>
        <w:tblW w:type="auto" w:w="0"/>
        <w:tblLook w:firstColumn="1" w:firstRow="1" w:lastColumn="0" w:lastRow="0" w:noHBand="0" w:noVBand="1" w:val="04A0"/>
      </w:tblPr>
      <w:tblGrid>
        <w:gridCol w:w="4824"/>
        <w:gridCol w:w="4824"/>
      </w:tblGrid>
      <w:tr>
        <w:tc>
          <w:tcPr>
            <w:tcW w:type="dxa" w:w="2304"/>
          </w:tcPr>
          <w:p>
            <w:r/>
            <w:r>
              <w:rPr>
                <w:b/>
                <w:sz w:val="19"/>
              </w:rPr>
              <w:t>배포 콘솔</w:t>
            </w:r>
          </w:p>
        </w:tc>
        <w:tc>
          <w:tcPr>
            <w:tcW w:type="dxa" w:w="7344"/>
          </w:tcPr>
          <w:p>
            <w:r/>
            <w:hyperlink r:id="rId9">
              <w:r>
                <w:rPr>
                  <w:color w:val="162661"/>
                  <w:u w:val="single"/>
                </w:rPr>
                <w:t xml:space="preserve">https://delphi-console-production-8ae8.up.railway.app</w:t>
              </w:r>
            </w:hyperlink>
          </w:p>
        </w:tc>
      </w:tr>
      <w:tr>
        <w:tc>
          <w:tcPr>
            <w:tcW w:type="dxa" w:w="2304"/>
          </w:tcPr>
          <w:p>
            <w:r/>
            <w:r>
              <w:rPr>
                <w:b/>
                <w:sz w:val="19"/>
              </w:rPr>
              <w:t>API와 소개 페이지</w:t>
            </w:r>
          </w:p>
        </w:tc>
        <w:tc>
          <w:tcPr>
            <w:tcW w:type="dxa" w:w="7344"/>
          </w:tcPr>
          <w:p>
            <w:r/>
            <w:hyperlink r:id="rId10">
              <w:r>
                <w:rPr>
                  <w:color w:val="162661"/>
                  <w:u w:val="single"/>
                </w:rPr>
                <w:t xml:space="preserve">https://delphi-web-production-52d6.up.railway.app</w:t>
              </w:r>
            </w:hyperlink>
          </w:p>
        </w:tc>
      </w:tr>
      <w:tr>
        <w:tc>
          <w:tcPr>
            <w:tcW w:type="dxa" w:w="2304"/>
          </w:tcPr>
          <w:p>
            <w:r/>
            <w:r>
              <w:rPr>
                <w:b/>
                <w:sz w:val="19"/>
              </w:rPr>
              <w:t>GitHub</w:t>
            </w:r>
          </w:p>
        </w:tc>
        <w:tc>
          <w:tcPr>
            <w:tcW w:type="dxa" w:w="7344"/>
          </w:tcPr>
          <w:p>
            <w:r/>
            <w:hyperlink r:id="rId11">
              <w:r>
                <w:rPr>
                  <w:color w:val="162661"/>
                  <w:u w:val="single"/>
                </w:rPr>
                <w:t xml:space="preserve">https://github.com/coldtype-08/delphi-evidence-loop</w:t>
              </w:r>
            </w:hyperlink>
          </w:p>
        </w:tc>
      </w:tr>
      <w:tr>
        <w:tc>
          <w:tcPr>
            <w:tcW w:type="dxa" w:w="2304"/>
          </w:tcPr>
          <w:p>
            <w:r/>
            <w:r>
              <w:rPr>
                <w:b/>
                <w:sz w:val="19"/>
              </w:rPr>
              <w:t>실행 기록 전문</w:t>
            </w:r>
          </w:p>
        </w:tc>
        <w:tc>
          <w:tcPr>
            <w:tcW w:type="dxa" w:w="7344"/>
          </w:tcPr>
          <w:p>
            <w:r/>
            <w:hyperlink r:id="rId12">
              <w:r>
                <w:rPr>
                  <w:color w:val="162661"/>
                  <w:u w:val="single"/>
                </w:rPr>
                <w:t xml:space="preserve">docs/demo_run.txt</w:t>
              </w:r>
            </w:hyperlink>
          </w:p>
        </w:tc>
      </w:tr>
    </w:tbl>
    <w:p/>
    <w:p>
      <w:pPr>
        <w:pStyle w:val="Heading1"/>
      </w:pPr>
      <w:r>
        <w:rPr>
          <w:color w:val="162661"/>
        </w:rPr>
        <w:t>1. 요약</w:t>
      </w:r>
    </w:p>
    <w:p>
      <w:pPr>
        <w:spacing w:after="120"/>
      </w:pPr>
      <w:r>
        <w:rPr>
          <w:b w:val="0"/>
        </w:rPr>
        <w:t>제약회사 의학부가 의료진을 만나고 남기는 면담 기록을 입력으로 받아, 환자군과 신호 유형별로 세고, 반복이 일정 수를 넘은 조합을 가설로 만들어 공개 문헌과 임상시험 등록, 허가사항과 대조한 뒤, 임원 역할 에이전트들의 심의를 거쳐 사람이 결정하는 시스템이다. 이번 데모는 특허가 만료된 메트포르민을 대상으로 가상 의료진 264인의 면담 282건을 합성해 돌렸다. 추출된 발언 609건 중 607건이 원문 위치까지 확인됐고, 유해사례 후보 19건은 별도 경로로 분리됐다. 문턱(반복 5회, 의료진 3인)을 넘은 가설 15건에 대해 근거 조사 4건, AI Board 심의 0건, 사람의 결정 0건이 이루어졌고, 결정에서 나온 후속 질문 0건이 다음 면담 체크리스트에 올라가 있다.</w:t>
      </w:r>
    </w:p>
    <w:p>
      <w:pPr>
        <w:spacing w:after="120"/>
      </w:pPr>
      <w:r>
        <w:rPr>
          <w:b w:val="0"/>
          <w:color w:val="555555"/>
          <w:sz w:val="19"/>
        </w:rPr>
        <w:t>이 문서의 숫자는 배포된 상태 파일에서 문서를 만들 때 읽어 온 값이다. 화면의 숫자와 다르면 화면이 맞다.</w:t>
      </w:r>
    </w:p>
    <w:p>
      <w:pPr>
        <w:pStyle w:val="Heading1"/>
      </w:pPr>
      <w:r>
        <w:rPr>
          <w:color w:val="162661"/>
        </w:rPr>
        <w:t>2. 해결하려는 문제</w:t>
      </w:r>
    </w:p>
    <w:p>
      <w:pPr>
        <w:pStyle w:val="Heading2"/>
      </w:pPr>
      <w:r>
        <w:rPr>
          <w:color w:val="162661"/>
        </w:rPr>
        <w:t>2.1 기록은 쌓이는데 셀 수가 없다</w:t>
      </w:r>
    </w:p>
    <w:p>
      <w:pPr>
        <w:spacing w:after="120"/>
      </w:pPr>
      <w:r>
        <w:rPr>
          <w:b w:val="0"/>
        </w:rPr>
        <w:t>의학부 담당자는 의료진을 만난 뒤 자유 형식으로 기록을 남긴다. 그 안에는 허가 범위 밖 환자에게 쓰고 싶다는 말, 실제로 써 본 경험, 다른 용도로 쓰고 있다는 이야기가 섞여 있다. 문서마다 형식과 표현이 달라 같은 이야기가 몇 명에게서 몇 번 나왔는지 알 수 없고, 필요할 때 사람이 문서를 다시 열어 읽고 정리한다. 문서 한 건은 일화지만 열 건이 모이면 회사가 검토해야 할 신호가 된다. 얼마나 쌓였는지 자체가 보이지 않으니 가설은 담당자의 기억에 기댄다. 업계 설문에서도 의학부 팀의 91%가 수집한 데이터 대부분을 인사이트로 쓰지 못한다고 답했다(Within3와 Reuters 설문, 업계 자료).</w:t>
      </w:r>
    </w:p>
    <w:p>
      <w:pPr>
        <w:pStyle w:val="Heading2"/>
      </w:pPr>
      <w:r>
        <w:rPr>
          <w:color w:val="162661"/>
        </w:rPr>
        <w:t>2.2 AI 요약은 근거가 되지 못한다</w:t>
      </w:r>
    </w:p>
    <w:p>
      <w:pPr>
        <w:spacing w:after="120"/>
      </w:pPr>
      <w:r>
        <w:rPr>
          <w:b w:val="0"/>
        </w:rPr>
        <w:t>의료와 규제 영역에서는 누가 언제 무슨 말을 했는지 원문까지 되짚을 수 있어야 판단에 올릴 수 있다. 언어모델에 요약을 맡기면 횟수를 지어내거나 근거 없는 문장이 섞이고, 그 결과는 어떤 회의에도 가져갈 수 없다. 요약이 아니라 원문 위치가 붙은 근거가 필요했다.</w:t>
      </w:r>
    </w:p>
    <w:p>
      <w:pPr>
        <w:pStyle w:val="Heading2"/>
      </w:pPr>
      <w:r>
        <w:rPr>
          <w:color w:val="162661"/>
        </w:rPr>
        <w:t>2.3 허가 범위 밖 신호는 다루는 규칙이 따로 있다</w:t>
      </w:r>
    </w:p>
    <w:p>
      <w:pPr>
        <w:spacing w:after="120"/>
      </w:pPr>
      <w:r>
        <w:rPr>
          <w:b w:val="0"/>
        </w:rPr>
        <w:t>미승인 적응증이나 환자군에 대한 수요는 전문조직이 검토할 대상이지 상업 활동의 재료가 아니다. 또 「써 봤다」와 「쓰고 싶은데 막혔다」는 규제상 다른 신호라서 한 칸에 섞으면 안 되고, 개별 환자의 유해사례로 읽히는 발언은 처음부터 다른 경로로 가야 한다. 이 규칙을 문서로 약속하는 대신 코드가 지키게 하는 것이 설계의 출발점이었다.</w:t>
      </w:r>
    </w:p>
    <w:p>
      <w:pPr>
        <w:pStyle w:val="Heading1"/>
      </w:pPr>
      <w:r>
        <w:rPr>
          <w:color w:val="162661"/>
        </w:rPr>
        <w:t>3. 해결 방안</w:t>
      </w:r>
    </w:p>
    <w:p>
      <w:pPr>
        <w:pStyle w:val="Heading2"/>
      </w:pPr>
      <w:r>
        <w:rPr>
          <w:color w:val="162661"/>
        </w:rPr>
        <w:t>3.1 처리 순서 6단계</w:t>
      </w:r>
    </w:p>
    <w:tbl>
      <w:tblPr>
        <w:tblStyle w:val="TableGrid"/>
        <w:tblW w:type="auto" w:w="0"/>
        <w:tblLook w:firstColumn="1" w:firstRow="1" w:lastColumn="0" w:lastRow="0" w:noHBand="0" w:noVBand="1" w:val="04A0"/>
      </w:tblPr>
      <w:tblGrid>
        <w:gridCol w:w="3216"/>
        <w:gridCol w:w="3216"/>
        <w:gridCol w:w="3216"/>
      </w:tblGrid>
      <w:tr>
        <w:tc>
          <w:tcPr>
            <w:tcW w:type="dxa" w:w="1440"/>
          </w:tcPr>
          <w:p>
            <w:r/>
            <w:r>
              <w:rPr>
                <w:b/>
                <w:sz w:val="19"/>
              </w:rPr>
              <w:t>단계</w:t>
            </w:r>
          </w:p>
        </w:tc>
        <w:tc>
          <w:tcPr>
            <w:tcW w:type="dxa" w:w="1728"/>
          </w:tcPr>
          <w:p>
            <w:r/>
            <w:r>
              <w:rPr>
                <w:b/>
                <w:sz w:val="19"/>
              </w:rPr>
              <w:t>주체</w:t>
            </w:r>
          </w:p>
        </w:tc>
        <w:tc>
          <w:tcPr>
            <w:tcW w:type="dxa" w:w="6480"/>
          </w:tcPr>
          <w:p>
            <w:r/>
            <w:r>
              <w:rPr>
                <w:b/>
                <w:sz w:val="19"/>
              </w:rPr>
              <w:t>하는 일</w:t>
            </w:r>
          </w:p>
        </w:tc>
      </w:tr>
      <w:tr>
        <w:tc>
          <w:tcPr>
            <w:tcW w:type="dxa" w:w="1440"/>
          </w:tcPr>
          <w:p>
            <w:r/>
            <w:r>
              <w:rPr>
                <w:sz w:val="19"/>
              </w:rPr>
              <w:t>① 추출</w:t>
            </w:r>
          </w:p>
        </w:tc>
        <w:tc>
          <w:tcPr>
            <w:tcW w:type="dxa" w:w="1728"/>
          </w:tcPr>
          <w:p>
            <w:r/>
            <w:r>
              <w:rPr>
                <w:sz w:val="19"/>
              </w:rPr>
              <w:t>Nemotron과 코드</w:t>
            </w:r>
          </w:p>
        </w:tc>
        <w:tc>
          <w:tcPr>
            <w:tcW w:type="dxa" w:w="6480"/>
          </w:tcPr>
          <w:p>
            <w:r/>
            <w:r>
              <w:rPr>
                <w:sz w:val="19"/>
              </w:rPr>
              <w:t>면담 기록에서 환자군과 신호 유형에 해당하는 문장을 골라 원문 그대로 인용한다. 코드가 인용을 원문에서 찾아 문자 위치를 붙이고, 못 찾으면 버린다. 유해사례로 읽히는 문장은 safety 큐로 보낸다.</w:t>
            </w:r>
          </w:p>
        </w:tc>
      </w:tr>
      <w:tr>
        <w:tc>
          <w:tcPr>
            <w:tcW w:type="dxa" w:w="1440"/>
          </w:tcPr>
          <w:p>
            <w:r/>
            <w:r>
              <w:rPr>
                <w:sz w:val="19"/>
              </w:rPr>
              <w:t>② 계수와 문턱</w:t>
            </w:r>
          </w:p>
        </w:tc>
        <w:tc>
          <w:tcPr>
            <w:tcW w:type="dxa" w:w="1728"/>
          </w:tcPr>
          <w:p>
            <w:r/>
            <w:r>
              <w:rPr>
                <w:sz w:val="19"/>
              </w:rPr>
              <w:t>코드</w:t>
            </w:r>
          </w:p>
        </w:tc>
        <w:tc>
          <w:tcPr>
            <w:tcW w:type="dxa" w:w="6480"/>
          </w:tcPr>
          <w:p>
            <w:r/>
            <w:r>
              <w:rPr>
                <w:sz w:val="19"/>
              </w:rPr>
              <w:t>언급 횟수와 독립 의료진 수를 센다. 반복 5회, 의료진 3인을 넘은 (환자군 × 신호 유형) 조합만 가설이 된다. 가설 문장과 검색식은 모델이 쓰지만 숫자는 쓰지 않는다.</w:t>
            </w:r>
          </w:p>
        </w:tc>
      </w:tr>
      <w:tr>
        <w:tc>
          <w:tcPr>
            <w:tcW w:type="dxa" w:w="1440"/>
          </w:tcPr>
          <w:p>
            <w:r/>
            <w:r>
              <w:rPr>
                <w:sz w:val="19"/>
              </w:rPr>
              <w:t>③ 근거 조사</w:t>
            </w:r>
          </w:p>
        </w:tc>
        <w:tc>
          <w:tcPr>
            <w:tcW w:type="dxa" w:w="1728"/>
          </w:tcPr>
          <w:p>
            <w:r/>
            <w:r>
              <w:rPr>
                <w:sz w:val="19"/>
              </w:rPr>
              <w:t>판독 에이전트 3</w:t>
            </w:r>
          </w:p>
        </w:tc>
        <w:tc>
          <w:tcPr>
            <w:tcW w:type="dxa" w:w="6480"/>
          </w:tcPr>
          <w:p>
            <w:r/>
            <w:r>
              <w:rPr>
                <w:sz w:val="19"/>
              </w:rPr>
              <w:t>PubMed, ClinicalTrials.gov, FDA 허가사항을 읽고 기록마다 지지, 반대, 중립을 원문 인용과 함께 표시한다. 무작위 대조시험과 3상, 메타분석을 먼저 읽는다. FAERS 보고 건수와 Medicare Part D 청구 건수는 API 값을 그대로 쓴다.</w:t>
            </w:r>
          </w:p>
        </w:tc>
      </w:tr>
      <w:tr>
        <w:tc>
          <w:tcPr>
            <w:tcW w:type="dxa" w:w="1440"/>
          </w:tcPr>
          <w:p>
            <w:r/>
            <w:r>
              <w:rPr>
                <w:sz w:val="19"/>
              </w:rPr>
              <w:t>④ 서명</w:t>
            </w:r>
          </w:p>
        </w:tc>
        <w:tc>
          <w:tcPr>
            <w:tcW w:type="dxa" w:w="1728"/>
          </w:tcPr>
          <w:p>
            <w:r/>
            <w:r>
              <w:rPr>
                <w:sz w:val="19"/>
              </w:rPr>
              <w:t>사람</w:t>
            </w:r>
          </w:p>
        </w:tc>
        <w:tc>
          <w:tcPr>
            <w:tcW w:type="dxa" w:w="6480"/>
          </w:tcPr>
          <w:p>
            <w:r/>
            <w:r>
              <w:rPr>
                <w:sz w:val="19"/>
              </w:rPr>
              <w:t>근거를 직접 읽었다는 서명을 이름으로 남긴다. 서명이 없으면 심의가 열리지 않는다. 반대 근거가 많아도 상정할 수 있다.</w:t>
            </w:r>
          </w:p>
        </w:tc>
      </w:tr>
      <w:tr>
        <w:tc>
          <w:tcPr>
            <w:tcW w:type="dxa" w:w="1440"/>
          </w:tcPr>
          <w:p>
            <w:r/>
            <w:r>
              <w:rPr>
                <w:sz w:val="19"/>
              </w:rPr>
              <w:t>⑤ 심의</w:t>
            </w:r>
          </w:p>
        </w:tc>
        <w:tc>
          <w:tcPr>
            <w:tcW w:type="dxa" w:w="1728"/>
          </w:tcPr>
          <w:p>
            <w:r/>
            <w:r>
              <w:rPr>
                <w:sz w:val="19"/>
              </w:rPr>
              <w:t>간사 1과 임원 7</w:t>
            </w:r>
          </w:p>
        </w:tc>
        <w:tc>
          <w:tcPr>
            <w:tcW w:type="dxa" w:w="6480"/>
          </w:tcPr>
          <w:p>
            <w:r/>
            <w:r>
              <w:rPr>
                <w:sz w:val="19"/>
              </w:rPr>
              <w:t>개회, 모두발언, 쟁점 토론, 최종 입장 순으로 회의를 연다. 발언의 인용은 근거 목록에 있는 ID만 인정한다. 최종 입장은 코드가 확신도로 가중해 집계하고 그 결과가 권고가 된다. 간사는 회의록만 쓴다.</w:t>
            </w:r>
          </w:p>
        </w:tc>
      </w:tr>
      <w:tr>
        <w:tc>
          <w:tcPr>
            <w:tcW w:type="dxa" w:w="1440"/>
          </w:tcPr>
          <w:p>
            <w:r/>
            <w:r>
              <w:rPr>
                <w:sz w:val="19"/>
              </w:rPr>
              <w:t>⑥ 판정과 실행</w:t>
            </w:r>
          </w:p>
        </w:tc>
        <w:tc>
          <w:tcPr>
            <w:tcW w:type="dxa" w:w="1728"/>
          </w:tcPr>
          <w:p>
            <w:r/>
            <w:r>
              <w:rPr>
                <w:sz w:val="19"/>
              </w:rPr>
              <w:t>사람</w:t>
            </w:r>
          </w:p>
        </w:tc>
        <w:tc>
          <w:tcPr>
            <w:tcW w:type="dxa" w:w="6480"/>
          </w:tcPr>
          <w:p>
            <w:r/>
            <w:r>
              <w:rPr>
                <w:sz w:val="19"/>
              </w:rPr>
              <w:t>의장이 추진, 조건부 추진, 보류, 기각 중 하나를 판정한다. 회의록의 후속 질문이 다음 면담 체크리스트로 내려간다.</w:t>
            </w:r>
          </w:p>
        </w:tc>
      </w:tr>
    </w:tbl>
    <w:p>
      <w:pPr>
        <w:spacing w:after="40"/>
      </w:pPr>
    </w:p>
    <w:p>
      <w:pPr>
        <w:pStyle w:val="Heading2"/>
      </w:pPr>
      <w:r>
        <w:rPr>
          <w:color w:val="162661"/>
        </w:rPr>
        <w:t>3.2 사람이 개입하는 자리 두 곳</w:t>
      </w:r>
    </w:p>
    <w:p>
      <w:pPr>
        <w:spacing w:after="120"/>
      </w:pPr>
      <w:r>
        <w:rPr>
          <w:b w:val="0"/>
        </w:rPr>
        <w:t>추출된 발언을 한 건씩 승인하지 않는다. 사람은 가설 단위로 근거를 검토해 서명하고, 심의가 끝나면 판정한다. 두 자리 모두 이름과 시각이 기록에 남는다. 검토량은 데이터 양이 아니라 실제로 판단에 쓰이는 양에 비례한다.</w:t>
      </w:r>
    </w:p>
    <w:p>
      <w:pPr>
        <w:pStyle w:val="Heading2"/>
      </w:pPr>
      <w:r>
        <w:rPr>
          <w:color w:val="162661"/>
        </w:rPr>
        <w:t>3.3 코드가 지키는 규칙 5개</w:t>
      </w:r>
    </w:p>
    <w:tbl>
      <w:tblPr>
        <w:tblStyle w:val="TableGrid"/>
        <w:tblW w:type="auto" w:w="0"/>
        <w:tblLook w:firstColumn="1" w:firstRow="1" w:lastColumn="0" w:lastRow="0" w:noHBand="0" w:noVBand="1" w:val="04A0"/>
      </w:tblPr>
      <w:tblGrid>
        <w:gridCol w:w="4824"/>
        <w:gridCol w:w="4824"/>
      </w:tblGrid>
      <w:tr>
        <w:tc>
          <w:tcPr>
            <w:tcW w:type="dxa" w:w="2880"/>
          </w:tcPr>
          <w:p>
            <w:r/>
            <w:r>
              <w:rPr>
                <w:b/>
                <w:sz w:val="19"/>
              </w:rPr>
              <w:t>규칙</w:t>
            </w:r>
          </w:p>
        </w:tc>
        <w:tc>
          <w:tcPr>
            <w:tcW w:type="dxa" w:w="6768"/>
          </w:tcPr>
          <w:p>
            <w:r/>
            <w:r>
              <w:rPr>
                <w:b/>
                <w:sz w:val="19"/>
              </w:rPr>
              <w:t>구현</w:t>
            </w:r>
          </w:p>
        </w:tc>
      </w:tr>
      <w:tr>
        <w:tc>
          <w:tcPr>
            <w:tcW w:type="dxa" w:w="2880"/>
          </w:tcPr>
          <w:p>
            <w:r/>
            <w:r>
              <w:rPr>
                <w:sz w:val="19"/>
              </w:rPr>
              <w:t>숫자는 모델이 만들지 않는다</w:t>
            </w:r>
          </w:p>
        </w:tc>
        <w:tc>
          <w:tcPr>
            <w:tcW w:type="dxa" w:w="6768"/>
          </w:tcPr>
          <w:p>
            <w:r/>
            <w:r>
              <w:rPr>
                <w:sz w:val="19"/>
              </w:rPr>
              <w:t>언급 수, 의료진 수, 지지와 반대 건수, 시험 수, 청구 건수는 전부 코드가 센다. 심의의 권고도 집계 결과다.</w:t>
            </w:r>
          </w:p>
        </w:tc>
      </w:tr>
      <w:tr>
        <w:tc>
          <w:tcPr>
            <w:tcW w:type="dxa" w:w="2880"/>
          </w:tcPr>
          <w:p>
            <w:r/>
            <w:r>
              <w:rPr>
                <w:sz w:val="19"/>
              </w:rPr>
              <w:t>인용에는 원문 위치가 있다</w:t>
            </w:r>
          </w:p>
        </w:tc>
        <w:tc>
          <w:tcPr>
            <w:tcW w:type="dxa" w:w="6768"/>
          </w:tcPr>
          <w:p>
            <w:r/>
            <w:r>
              <w:rPr>
                <w:sz w:val="19"/>
              </w:rPr>
              <w:t>모델이 준 인용문을 원문에서 찾지 못하면 「버림」으로 표시하고 세지 않는다. 문장 사이를 건너뛰어 이어 붙인 인용도 버린다.</w:t>
            </w:r>
          </w:p>
        </w:tc>
      </w:tr>
      <w:tr>
        <w:tc>
          <w:tcPr>
            <w:tcW w:type="dxa" w:w="2880"/>
          </w:tcPr>
          <w:p>
            <w:r/>
            <w:r>
              <w:rPr>
                <w:sz w:val="19"/>
              </w:rPr>
              <w:t>관문은 둘이고 이름이 남는다</w:t>
            </w:r>
          </w:p>
        </w:tc>
        <w:tc>
          <w:tcPr>
            <w:tcW w:type="dxa" w:w="6768"/>
          </w:tcPr>
          <w:p>
            <w:r/>
            <w:r>
              <w:rPr>
                <w:sz w:val="19"/>
              </w:rPr>
              <w:t>서명 없이 심의를 열 수 없고, 판정 없이 실행 항목이 생기지 않는다.</w:t>
            </w:r>
          </w:p>
        </w:tc>
      </w:tr>
      <w:tr>
        <w:tc>
          <w:tcPr>
            <w:tcW w:type="dxa" w:w="2880"/>
          </w:tcPr>
          <w:p>
            <w:r/>
            <w:r>
              <w:rPr>
                <w:sz w:val="19"/>
              </w:rPr>
              <w:t>허가 범위 밖 가설은 전문조직 검토로만 간다</w:t>
            </w:r>
          </w:p>
        </w:tc>
        <w:tc>
          <w:tcPr>
            <w:tcW w:type="dxa" w:w="6768"/>
          </w:tcPr>
          <w:p>
            <w:r/>
            <w:r>
              <w:rPr>
                <w:sz w:val="19"/>
              </w:rPr>
              <w:t>심의에서 나온 상업 액션(프로모션, 영업 목표 등)은 코드가 걸러 기록에 남긴다.</w:t>
            </w:r>
          </w:p>
        </w:tc>
      </w:tr>
      <w:tr>
        <w:tc>
          <w:tcPr>
            <w:tcW w:type="dxa" w:w="2880"/>
          </w:tcPr>
          <w:p>
            <w:r/>
            <w:r>
              <w:rPr>
                <w:sz w:val="19"/>
              </w:rPr>
              <w:t>유해사례 후보는 분석에 섞이지 않는다</w:t>
            </w:r>
          </w:p>
        </w:tc>
        <w:tc>
          <w:tcPr>
            <w:tcW w:type="dxa" w:w="6768"/>
          </w:tcPr>
          <w:p>
            <w:r/>
            <w:r>
              <w:rPr>
                <w:sz w:val="19"/>
              </w:rPr>
              <w:t>추출 단계에서 별도 큐로 분리하고, 집계와 가설 생성에서 제외한다.</w:t>
            </w:r>
          </w:p>
        </w:tc>
      </w:tr>
    </w:tbl>
    <w:p>
      <w:pPr>
        <w:spacing w:after="40"/>
      </w:pPr>
    </w:p>
    <w:p>
      <w:pPr>
        <w:pStyle w:val="Heading1"/>
      </w:pPr>
      <w:r>
        <w:rPr>
          <w:color w:val="162661"/>
        </w:rPr>
        <w:t>4. 시스템 구성</w:t>
      </w:r>
    </w:p>
    <w:p>
      <w:pPr>
        <w:pStyle w:val="Heading2"/>
      </w:pPr>
      <w:r>
        <w:rPr>
          <w:color w:val="162661"/>
        </w:rPr>
        <w:t>4.1 화면 7개</w:t>
      </w:r>
    </w:p>
    <w:p>
      <w:pPr>
        <w:spacing w:after="120"/>
      </w:pPr>
      <w:r>
        <w:rPr>
          <w:b w:val="0"/>
        </w:rPr>
        <w:t>홈(현황과 신호 지도), 신호의 여정(파이프라인 보드), 신호와 가설(가설 목록과 생성), 다중 에이전트 검증(근거 조사 워크벤치), 심의(안건 대장과 AI Board 회의실), 안전(유해사례 후보), 실행 기록(모델 호출 이력과 비용). 회의실은 발언이 생기는 순서대로 화면에 올라오고, 끝난 회의는 처음부터 다시 재생할 수 있다.</w:t>
      </w:r>
    </w:p>
    <w:p>
      <w:pPr>
        <w:jc w:val="center"/>
      </w:pPr>
      <w:r>
        <w:drawing>
          <wp:inline xmlns:a="http://schemas.openxmlformats.org/drawingml/2006/main" xmlns:pic="http://schemas.openxmlformats.org/drawingml/2006/picture">
            <wp:extent cx="5852160" cy="13345668"/>
            <wp:docPr id="1" name="Picture 1"/>
            <wp:cNvGraphicFramePr>
              <a:graphicFrameLocks noChangeAspect="1"/>
            </wp:cNvGraphicFramePr>
            <a:graphic>
              <a:graphicData uri="http://schemas.openxmlformats.org/drawingml/2006/picture">
                <pic:pic>
                  <pic:nvPicPr>
                    <pic:cNvPr id="0" name="console_home.png"/>
                    <pic:cNvPicPr/>
                  </pic:nvPicPr>
                  <pic:blipFill>
                    <a:blip r:embed="rId13"/>
                    <a:stretch>
                      <a:fillRect/>
                    </a:stretch>
                  </pic:blipFill>
                  <pic:spPr>
                    <a:xfrm>
                      <a:off x="0" y="0"/>
                      <a:ext cx="5852160" cy="13345668"/>
                    </a:xfrm>
                    <a:prstGeom prst="rect"/>
                  </pic:spPr>
                </pic:pic>
              </a:graphicData>
            </a:graphic>
          </wp:inline>
        </w:drawing>
      </w:r>
    </w:p>
    <w:p>
      <w:pPr>
        <w:spacing w:after="200"/>
      </w:pPr>
      <w:r>
        <w:rPr>
          <w:b w:val="0"/>
          <w:color w:val="555555"/>
          <w:sz w:val="18"/>
        </w:rPr>
        <w:t>홈 화면. 면담 코퍼스 규모, 허가 범위 밖과 안의 언급 건수, 환자군별 추세, 신호 유형 분포, 환자군과 신호 유형의 교차 집계를 한 화면에 둔다.</w:t>
      </w:r>
    </w:p>
    <w:p>
      <w:pPr>
        <w:jc w:val="center"/>
      </w:pPr>
      <w:r>
        <w:drawing>
          <wp:inline xmlns:a="http://schemas.openxmlformats.org/drawingml/2006/main" xmlns:pic="http://schemas.openxmlformats.org/drawingml/2006/picture">
            <wp:extent cx="5852160" cy="7456932"/>
            <wp:docPr id="2" name="Picture 2"/>
            <wp:cNvGraphicFramePr>
              <a:graphicFrameLocks noChangeAspect="1"/>
            </wp:cNvGraphicFramePr>
            <a:graphic>
              <a:graphicData uri="http://schemas.openxmlformats.org/drawingml/2006/picture">
                <pic:pic>
                  <pic:nvPicPr>
                    <pic:cNvPr id="0" name="journey.png"/>
                    <pic:cNvPicPr/>
                  </pic:nvPicPr>
                  <pic:blipFill>
                    <a:blip r:embed="rId14"/>
                    <a:stretch>
                      <a:fillRect/>
                    </a:stretch>
                  </pic:blipFill>
                  <pic:spPr>
                    <a:xfrm>
                      <a:off x="0" y="0"/>
                      <a:ext cx="5852160" cy="7456932"/>
                    </a:xfrm>
                    <a:prstGeom prst="rect"/>
                  </pic:spPr>
                </pic:pic>
              </a:graphicData>
            </a:graphic>
          </wp:inline>
        </w:drawing>
      </w:r>
    </w:p>
    <w:p>
      <w:pPr>
        <w:spacing w:after="200"/>
      </w:pPr>
      <w:r>
        <w:rPr>
          <w:b w:val="0"/>
          <w:color w:val="555555"/>
          <w:sz w:val="18"/>
        </w:rPr>
        <w:t>신호의 여정. 현장, SENSE, SCREEN, AI BOARD 네 레인에 단계별 건수를 놓고, 코드가 세는 단계와 AI가 판단하는 단계, 사람이 개입하는 단계를 구분해 표시한다.</w:t>
      </w:r>
    </w:p>
    <w:p>
      <w:pPr>
        <w:pStyle w:val="Heading2"/>
      </w:pPr>
      <w:r>
        <w:rPr>
          <w:color w:val="162661"/>
        </w:rPr>
        <w:t>4.2 NVIDIA 스택과 에이전트 구성</w:t>
      </w:r>
    </w:p>
    <w:tbl>
      <w:tblPr>
        <w:tblStyle w:val="TableGrid"/>
        <w:tblW w:type="auto" w:w="0"/>
        <w:tblLook w:firstColumn="1" w:firstRow="1" w:lastColumn="0" w:lastRow="0" w:noHBand="0" w:noVBand="1" w:val="04A0"/>
      </w:tblPr>
      <w:tblGrid>
        <w:gridCol w:w="4824"/>
        <w:gridCol w:w="4824"/>
      </w:tblGrid>
      <w:tr>
        <w:tc>
          <w:tcPr>
            <w:tcW w:type="dxa" w:w="2016"/>
          </w:tcPr>
          <w:p>
            <w:r/>
            <w:r>
              <w:rPr>
                <w:b/>
                <w:sz w:val="19"/>
              </w:rPr>
              <w:t>구분</w:t>
            </w:r>
          </w:p>
        </w:tc>
        <w:tc>
          <w:tcPr>
            <w:tcW w:type="dxa" w:w="7632"/>
          </w:tcPr>
          <w:p>
            <w:r/>
            <w:r>
              <w:rPr>
                <w:b/>
                <w:sz w:val="19"/>
              </w:rPr>
              <w:t>내용</w:t>
            </w:r>
          </w:p>
        </w:tc>
      </w:tr>
      <w:tr>
        <w:tc>
          <w:tcPr>
            <w:tcW w:type="dxa" w:w="2016"/>
          </w:tcPr>
          <w:p>
            <w:r/>
            <w:r>
              <w:rPr>
                <w:sz w:val="19"/>
              </w:rPr>
              <w:t>추론 모델</w:t>
            </w:r>
          </w:p>
        </w:tc>
        <w:tc>
          <w:tcPr>
            <w:tcW w:type="dxa" w:w="7632"/>
          </w:tcPr>
          <w:p>
            <w:r/>
            <w:r>
              <w:rPr>
                <w:sz w:val="19"/>
              </w:rPr>
              <w:t>NVIDIA Nemotron 3 Ultra (nvidia/nemotron-3-ultra-550b-a55b). NIM의 OpenAI 호환 API로 호출한다. 한국어를 공식 지원해 면담 기록을 번역 없이 읽는다.</w:t>
            </w:r>
          </w:p>
        </w:tc>
      </w:tr>
      <w:tr>
        <w:tc>
          <w:tcPr>
            <w:tcW w:type="dxa" w:w="2016"/>
          </w:tcPr>
          <w:p>
            <w:r/>
            <w:r>
              <w:rPr>
                <w:sz w:val="19"/>
              </w:rPr>
              <w:t>호출 방식</w:t>
            </w:r>
          </w:p>
        </w:tc>
        <w:tc>
          <w:tcPr>
            <w:tcW w:type="dxa" w:w="7632"/>
          </w:tcPr>
          <w:p>
            <w:r/>
            <w:r>
              <w:rPr>
                <w:sz w:val="19"/>
              </w:rPr>
              <w:t>함수 호출로 JSON 스키마를 강제하고 jsonschema로 검증한다. 회의록을 쓰는 단계에서만 reasoning 모드를 켠다. 모든 호출은 래퍼 한 곳을 지나며 응답을 캐시하고 실행 기록(모델, 토큰, 캐시 적중)을 남긴다. 속도 제한(429)에는 지수 백오프로 대응한다.</w:t>
            </w:r>
          </w:p>
        </w:tc>
      </w:tr>
      <w:tr>
        <w:tc>
          <w:tcPr>
            <w:tcW w:type="dxa" w:w="2016"/>
          </w:tcPr>
          <w:p>
            <w:r/>
            <w:r>
              <w:rPr>
                <w:sz w:val="19"/>
              </w:rPr>
              <w:t>에이전트</w:t>
            </w:r>
          </w:p>
        </w:tc>
        <w:tc>
          <w:tcPr>
            <w:tcW w:type="dxa" w:w="7632"/>
          </w:tcPr>
          <w:p>
            <w:r/>
            <w:r>
              <w:rPr>
                <w:sz w:val="19"/>
              </w:rPr>
              <w:t>판독 에이전트 3종(PubMed, ClinicalTrials.gov, FDA 라벨), 간사 1, 임원 7(CMO, 규제, 약물감시, 임상개발, 재무, 상업, CEO). 임원은 병렬로 발언하고 간사가 지명해 토론한다.</w:t>
            </w:r>
          </w:p>
        </w:tc>
      </w:tr>
      <w:tr>
        <w:tc>
          <w:tcPr>
            <w:tcW w:type="dxa" w:w="2016"/>
          </w:tcPr>
          <w:p>
            <w:r/>
            <w:r>
              <w:rPr>
                <w:sz w:val="19"/>
              </w:rPr>
              <w:t>스킬과 샌드박스</w:t>
            </w:r>
          </w:p>
        </w:tc>
        <w:tc>
          <w:tcPr>
            <w:tcW w:type="dxa" w:w="7632"/>
          </w:tcPr>
          <w:p>
            <w:r/>
            <w:r>
              <w:rPr>
                <w:sz w:val="19"/>
              </w:rPr>
              <w:t>NVIDIA Agent Skills 규격의 evidence-loop 스킬(skills/evidence-loop/SKILL.md)과 OpenShell 정책용 허용 호스트 5개 명세(sandbox/EGRESS.md)를 함께 제출한다. 샌드박스 실행은 본선에서 진행한다.</w:t>
            </w:r>
          </w:p>
        </w:tc>
      </w:tr>
      <w:tr>
        <w:tc>
          <w:tcPr>
            <w:tcW w:type="dxa" w:w="2016"/>
          </w:tcPr>
          <w:p>
            <w:r/>
            <w:r>
              <w:rPr>
                <w:sz w:val="19"/>
              </w:rPr>
              <w:t>앱</w:t>
            </w:r>
          </w:p>
        </w:tc>
        <w:tc>
          <w:tcPr>
            <w:tcW w:type="dxa" w:w="7632"/>
          </w:tcPr>
          <w:p>
            <w:r/>
            <w:r>
              <w:rPr>
                <w:sz w:val="19"/>
              </w:rPr>
              <w:t>콘솔 Next.js 16, React 19, Tailwind 4. 백엔드 Python 3.12, FastAPI, uv. 상태는 JSON 파일 하나가 정본이다.</w:t>
            </w:r>
          </w:p>
        </w:tc>
      </w:tr>
      <w:tr>
        <w:tc>
          <w:tcPr>
            <w:tcW w:type="dxa" w:w="2016"/>
          </w:tcPr>
          <w:p>
            <w:r/>
            <w:r>
              <w:rPr>
                <w:sz w:val="19"/>
              </w:rPr>
              <w:t>근거원</w:t>
            </w:r>
          </w:p>
        </w:tc>
        <w:tc>
          <w:tcPr>
            <w:tcW w:type="dxa" w:w="7632"/>
          </w:tcPr>
          <w:p>
            <w:r/>
            <w:r>
              <w:rPr>
                <w:sz w:val="19"/>
              </w:rPr>
              <w:t>PubMed E-utilities, ClinicalTrials.gov API v2, openFDA(허가사항과 FAERS), CMS Medicare Part D Spending. 응답은 디스크에 캐시한다.</w:t>
            </w:r>
          </w:p>
        </w:tc>
      </w:tr>
      <w:tr>
        <w:tc>
          <w:tcPr>
            <w:tcW w:type="dxa" w:w="2016"/>
          </w:tcPr>
          <w:p>
            <w:r/>
            <w:r>
              <w:rPr>
                <w:sz w:val="19"/>
              </w:rPr>
              <w:t>배포</w:t>
            </w:r>
          </w:p>
        </w:tc>
        <w:tc>
          <w:tcPr>
            <w:tcW w:type="dxa" w:w="7632"/>
          </w:tcPr>
          <w:p>
            <w:r/>
            <w:r>
              <w:rPr>
                <w:sz w:val="19"/>
              </w:rPr>
              <w:t>Railway 2개 서비스. 콘솔은 Nixpacks 빌드 뒤 응답을 버퍼링하는 Node 서버로 서비스하고, API는 Docker로 올린다.</w:t>
            </w:r>
          </w:p>
        </w:tc>
      </w:tr>
    </w:tbl>
    <w:p>
      <w:pPr>
        <w:spacing w:after="40"/>
      </w:pPr>
    </w:p>
    <w:p>
      <w:pPr>
        <w:pStyle w:val="Heading1"/>
      </w:pPr>
      <w:r>
        <w:rPr>
          <w:color w:val="162661"/>
        </w:rPr>
        <w:t>5. 데모 결과</w:t>
      </w:r>
    </w:p>
    <w:p>
      <w:pPr>
        <w:pStyle w:val="Heading2"/>
      </w:pPr>
      <w:r>
        <w:rPr>
          <w:color w:val="162661"/>
        </w:rPr>
        <w:t>5.1 데이터</w:t>
      </w:r>
    </w:p>
    <w:p>
      <w:pPr>
        <w:spacing w:after="120"/>
      </w:pPr>
      <w:r>
        <w:rPr>
          <w:b w:val="0"/>
        </w:rPr>
        <w:t>대상 약은 메트포르민이다. 특허가 만료됐고 특정 회사 소유가 아니며 공개 근거가 많다(PubMed 제목 검색 18,054편, ClinicalTrials.gov 3,120건, FAERS 보고 440,270건, Medicare Part D 2024년 청구 3,437만 건, 2026년 9월 28일 조회). 면담 기록은 가상 의료진 264인의 282건(2026-03-02 ~ 2026-07-28)을 합성했다. 문장은 공개된 사실에 맞춰 썼다. 예를 들어 유방암 보조요법에 대해서는 3,649명 규모의 캐나다 주도 3상 시험이 무효로 끝났다는 사실을, 신기능 저하 환자에 대해서는 eGFR 30 미만 금기와 30~45 신규 투여 금지, 젖산산증 박스 경고를, 다낭성난소증후군에 대해서는 레트로졸이나 클로미펜과의 병용이 허가 밖이지만 널리 쓰인다는 사실을 반영했다. 실제 환자, 의료진, 기관 정보는 없다.</w:t>
      </w:r>
    </w:p>
    <w:p>
      <w:pPr>
        <w:pStyle w:val="Heading2"/>
      </w:pPr>
      <w:r>
        <w:rPr>
          <w:color w:val="162661"/>
        </w:rPr>
        <w:t>5.2 가설 15건의 처리 결과</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864"/>
          </w:tcPr>
          <w:p>
            <w:r/>
            <w:r>
              <w:rPr>
                <w:b/>
                <w:sz w:val="17"/>
              </w:rPr>
              <w:t>가설</w:t>
            </w:r>
          </w:p>
        </w:tc>
        <w:tc>
          <w:tcPr>
            <w:tcW w:type="dxa" w:w="2160"/>
          </w:tcPr>
          <w:p>
            <w:r/>
            <w:r>
              <w:rPr>
                <w:b/>
                <w:sz w:val="17"/>
              </w:rPr>
              <w:t>환자군 × 신호</w:t>
            </w:r>
          </w:p>
        </w:tc>
        <w:tc>
          <w:tcPr>
            <w:tcW w:type="dxa" w:w="1008"/>
          </w:tcPr>
          <w:p>
            <w:r/>
            <w:r>
              <w:rPr>
                <w:b/>
                <w:sz w:val="17"/>
              </w:rPr>
              <w:t>현장</w:t>
            </w:r>
          </w:p>
        </w:tc>
        <w:tc>
          <w:tcPr>
            <w:tcW w:type="dxa" w:w="2016"/>
          </w:tcPr>
          <w:p>
            <w:r/>
            <w:r>
              <w:rPr>
                <w:b/>
                <w:sz w:val="17"/>
              </w:rPr>
              <w:t>외부 근거</w:t>
            </w:r>
          </w:p>
        </w:tc>
        <w:tc>
          <w:tcPr>
            <w:tcW w:type="dxa" w:w="1008"/>
          </w:tcPr>
          <w:p>
            <w:r/>
            <w:r>
              <w:rPr>
                <w:b/>
                <w:sz w:val="17"/>
              </w:rPr>
              <w:t>허가</w:t>
            </w:r>
          </w:p>
        </w:tc>
        <w:tc>
          <w:tcPr>
            <w:tcW w:type="dxa" w:w="1728"/>
          </w:tcPr>
          <w:p>
            <w:r/>
            <w:r>
              <w:rPr>
                <w:b/>
                <w:sz w:val="17"/>
              </w:rPr>
              <w:t>AI Board</w:t>
            </w:r>
          </w:p>
        </w:tc>
        <w:tc>
          <w:tcPr>
            <w:tcW w:type="dxa" w:w="1584"/>
          </w:tcPr>
          <w:p>
            <w:r/>
            <w:r>
              <w:rPr>
                <w:b/>
                <w:sz w:val="17"/>
              </w:rPr>
              <w:t>결정</w:t>
            </w:r>
          </w:p>
        </w:tc>
      </w:tr>
      <w:tr>
        <w:tc>
          <w:tcPr>
            <w:tcW w:type="dxa" w:w="864"/>
          </w:tcPr>
          <w:p>
            <w:r/>
            <w:r>
              <w:rPr>
                <w:sz w:val="17"/>
              </w:rPr>
              <w:t>HYP-001</w:t>
            </w:r>
          </w:p>
        </w:tc>
        <w:tc>
          <w:tcPr>
            <w:tcW w:type="dxa" w:w="2160"/>
          </w:tcPr>
          <w:p>
            <w:r/>
            <w:r>
              <w:rPr>
                <w:sz w:val="17"/>
              </w:rPr>
              <w:t>PCOS 여성 × 허가 밖 사용 경험</w:t>
            </w:r>
          </w:p>
        </w:tc>
        <w:tc>
          <w:tcPr>
            <w:tcW w:type="dxa" w:w="1008"/>
          </w:tcPr>
          <w:p>
            <w:r/>
            <w:r>
              <w:rPr>
                <w:sz w:val="17"/>
              </w:rPr>
              <w:t>100회 / 60인</w:t>
            </w:r>
          </w:p>
        </w:tc>
        <w:tc>
          <w:tcPr>
            <w:tcW w:type="dxa" w:w="2016"/>
          </w:tcPr>
          <w:p>
            <w:r/>
            <w:r>
              <w:rPr>
                <w:sz w:val="17"/>
              </w:rPr>
              <w:t>지지 16 · 반대 0 · 중립 14</w:t>
            </w:r>
          </w:p>
        </w:tc>
        <w:tc>
          <w:tcPr>
            <w:tcW w:type="dxa" w:w="1008"/>
          </w:tcPr>
          <w:p>
            <w:r/>
            <w:r>
              <w:rPr>
                <w:sz w:val="17"/>
              </w:rPr>
              <w:t>허가 범위 밖</w:t>
            </w:r>
          </w:p>
        </w:tc>
        <w:tc>
          <w:tcPr>
            <w:tcW w:type="dxa" w:w="1728"/>
          </w:tcPr>
          <w:p>
            <w:r/>
            <w:r>
              <w:rPr>
                <w:sz w:val="17"/>
              </w:rPr>
              <w:t>미실시</w:t>
            </w:r>
          </w:p>
        </w:tc>
        <w:tc>
          <w:tcPr>
            <w:tcW w:type="dxa" w:w="1584"/>
          </w:tcPr>
          <w:p>
            <w:r/>
            <w:r>
              <w:rPr>
                <w:sz w:val="17"/>
              </w:rPr>
            </w:r>
          </w:p>
        </w:tc>
      </w:tr>
      <w:tr>
        <w:tc>
          <w:tcPr>
            <w:tcW w:type="dxa" w:w="864"/>
          </w:tcPr>
          <w:p>
            <w:r/>
            <w:r>
              <w:rPr>
                <w:sz w:val="17"/>
              </w:rPr>
              <w:t>HYP-002</w:t>
            </w:r>
          </w:p>
        </w:tc>
        <w:tc>
          <w:tcPr>
            <w:tcW w:type="dxa" w:w="2160"/>
          </w:tcPr>
          <w:p>
            <w:r/>
            <w:r>
              <w:rPr>
                <w:sz w:val="17"/>
              </w:rPr>
              <w:t>당뇨 전단계 × 허가 밖 수요</w:t>
            </w:r>
          </w:p>
        </w:tc>
        <w:tc>
          <w:tcPr>
            <w:tcW w:type="dxa" w:w="1008"/>
          </w:tcPr>
          <w:p>
            <w:r/>
            <w:r>
              <w:rPr>
                <w:sz w:val="17"/>
              </w:rPr>
              <w:t>92회 / 61인</w:t>
            </w:r>
          </w:p>
        </w:tc>
        <w:tc>
          <w:tcPr>
            <w:tcW w:type="dxa" w:w="2016"/>
          </w:tcPr>
          <w:p>
            <w:r/>
            <w:r>
              <w:rPr>
                <w:sz w:val="17"/>
              </w:rPr>
              <w:t>지지 12 · 반대 3 · 중립 14</w:t>
            </w:r>
          </w:p>
        </w:tc>
        <w:tc>
          <w:tcPr>
            <w:tcW w:type="dxa" w:w="1008"/>
          </w:tcPr>
          <w:p>
            <w:r/>
            <w:r>
              <w:rPr>
                <w:sz w:val="17"/>
              </w:rPr>
              <w:t>허가 범위 밖</w:t>
            </w:r>
          </w:p>
        </w:tc>
        <w:tc>
          <w:tcPr>
            <w:tcW w:type="dxa" w:w="1728"/>
          </w:tcPr>
          <w:p>
            <w:r/>
            <w:r>
              <w:rPr>
                <w:sz w:val="17"/>
              </w:rPr>
              <w:t>미실시</w:t>
            </w:r>
          </w:p>
        </w:tc>
        <w:tc>
          <w:tcPr>
            <w:tcW w:type="dxa" w:w="1584"/>
          </w:tcPr>
          <w:p>
            <w:r/>
            <w:r>
              <w:rPr>
                <w:sz w:val="17"/>
              </w:rPr>
            </w:r>
          </w:p>
        </w:tc>
      </w:tr>
      <w:tr>
        <w:tc>
          <w:tcPr>
            <w:tcW w:type="dxa" w:w="864"/>
          </w:tcPr>
          <w:p>
            <w:r/>
            <w:r>
              <w:rPr>
                <w:sz w:val="17"/>
              </w:rPr>
              <w:t>HYP-003</w:t>
            </w:r>
          </w:p>
        </w:tc>
        <w:tc>
          <w:tcPr>
            <w:tcW w:type="dxa" w:w="2160"/>
          </w:tcPr>
          <w:p>
            <w:r/>
            <w:r>
              <w:rPr>
                <w:sz w:val="17"/>
              </w:rPr>
              <w:t>유방암 환자 × 허가 밖 수요</w:t>
            </w:r>
          </w:p>
        </w:tc>
        <w:tc>
          <w:tcPr>
            <w:tcW w:type="dxa" w:w="1008"/>
          </w:tcPr>
          <w:p>
            <w:r/>
            <w:r>
              <w:rPr>
                <w:sz w:val="17"/>
              </w:rPr>
              <w:t>64회 / 39인</w:t>
            </w:r>
          </w:p>
        </w:tc>
        <w:tc>
          <w:tcPr>
            <w:tcW w:type="dxa" w:w="2016"/>
          </w:tcPr>
          <w:p>
            <w:r/>
            <w:r>
              <w:rPr>
                <w:sz w:val="17"/>
              </w:rPr>
              <w:t>지지 5 · 반대 0 · 중립 23</w:t>
            </w:r>
          </w:p>
        </w:tc>
        <w:tc>
          <w:tcPr>
            <w:tcW w:type="dxa" w:w="1008"/>
          </w:tcPr>
          <w:p>
            <w:r/>
            <w:r>
              <w:rPr>
                <w:sz w:val="17"/>
              </w:rPr>
              <w:t>허가 범위 밖</w:t>
            </w:r>
          </w:p>
        </w:tc>
        <w:tc>
          <w:tcPr>
            <w:tcW w:type="dxa" w:w="1728"/>
          </w:tcPr>
          <w:p>
            <w:r/>
            <w:r>
              <w:rPr>
                <w:sz w:val="17"/>
              </w:rPr>
              <w:t>미실시</w:t>
            </w:r>
          </w:p>
        </w:tc>
        <w:tc>
          <w:tcPr>
            <w:tcW w:type="dxa" w:w="1584"/>
          </w:tcPr>
          <w:p>
            <w:r/>
            <w:r>
              <w:rPr>
                <w:sz w:val="17"/>
              </w:rPr>
            </w:r>
          </w:p>
        </w:tc>
      </w:tr>
      <w:tr>
        <w:tc>
          <w:tcPr>
            <w:tcW w:type="dxa" w:w="864"/>
          </w:tcPr>
          <w:p>
            <w:r/>
            <w:r>
              <w:rPr>
                <w:sz w:val="17"/>
              </w:rPr>
              <w:t>HYP-004</w:t>
            </w:r>
          </w:p>
        </w:tc>
        <w:tc>
          <w:tcPr>
            <w:tcW w:type="dxa" w:w="2160"/>
          </w:tcPr>
          <w:p>
            <w:r/>
            <w:r>
              <w:rPr>
                <w:sz w:val="17"/>
              </w:rPr>
              <w:t>노인 65+ · 신기능 저하 × 용량과 제형</w:t>
            </w:r>
          </w:p>
        </w:tc>
        <w:tc>
          <w:tcPr>
            <w:tcW w:type="dxa" w:w="1008"/>
          </w:tcPr>
          <w:p>
            <w:r/>
            <w:r>
              <w:rPr>
                <w:sz w:val="17"/>
              </w:rPr>
              <w:t>55회 / 37인</w:t>
            </w:r>
          </w:p>
        </w:tc>
        <w:tc>
          <w:tcPr>
            <w:tcW w:type="dxa" w:w="2016"/>
          </w:tcPr>
          <w:p>
            <w:r/>
            <w:r>
              <w:rPr>
                <w:sz w:val="17"/>
              </w:rPr>
              <w:t>지지 1 · 반대 0 · 중립 6</w:t>
            </w:r>
          </w:p>
        </w:tc>
        <w:tc>
          <w:tcPr>
            <w:tcW w:type="dxa" w:w="1008"/>
          </w:tcPr>
          <w:p>
            <w:r/>
            <w:r>
              <w:rPr>
                <w:sz w:val="17"/>
              </w:rPr>
              <w:t>허가 범위 밖</w:t>
            </w:r>
          </w:p>
        </w:tc>
        <w:tc>
          <w:tcPr>
            <w:tcW w:type="dxa" w:w="1728"/>
          </w:tcPr>
          <w:p>
            <w:r/>
            <w:r>
              <w:rPr>
                <w:sz w:val="17"/>
              </w:rPr>
              <w:t>미실시</w:t>
            </w:r>
          </w:p>
        </w:tc>
        <w:tc>
          <w:tcPr>
            <w:tcW w:type="dxa" w:w="1584"/>
          </w:tcPr>
          <w:p>
            <w:r/>
            <w:r>
              <w:rPr>
                <w:sz w:val="17"/>
              </w:rPr>
            </w:r>
          </w:p>
        </w:tc>
      </w:tr>
      <w:tr>
        <w:tc>
          <w:tcPr>
            <w:tcW w:type="dxa" w:w="864"/>
          </w:tcPr>
          <w:p>
            <w:r/>
            <w:r>
              <w:rPr>
                <w:sz w:val="17"/>
              </w:rPr>
              <w:t>HYP-005</w:t>
            </w:r>
          </w:p>
        </w:tc>
        <w:tc>
          <w:tcPr>
            <w:tcW w:type="dxa" w:w="2160"/>
          </w:tcPr>
          <w:p>
            <w:r/>
            <w:r>
              <w:rPr>
                <w:sz w:val="17"/>
              </w:rPr>
              <w:t>유방암 환자 × 다른 용도</w:t>
            </w:r>
          </w:p>
        </w:tc>
        <w:tc>
          <w:tcPr>
            <w:tcW w:type="dxa" w:w="1008"/>
          </w:tcPr>
          <w:p>
            <w:r/>
            <w:r>
              <w:rPr>
                <w:sz w:val="17"/>
              </w:rPr>
              <w:t>41회 / 32인</w:t>
            </w:r>
          </w:p>
        </w:tc>
        <w:tc>
          <w:tcPr>
            <w:tcW w:type="dxa" w:w="2016"/>
          </w:tcPr>
          <w:p>
            <w:r/>
            <w:r>
              <w:rPr>
                <w:sz w:val="17"/>
              </w:rPr>
              <w:t>미실시</w:t>
            </w:r>
          </w:p>
        </w:tc>
        <w:tc>
          <w:tcPr>
            <w:tcW w:type="dxa" w:w="1008"/>
          </w:tcPr>
          <w:p>
            <w:r/>
            <w:r>
              <w:rPr>
                <w:sz w:val="17"/>
              </w:rPr>
              <w:t>허가 범위 밖</w:t>
            </w:r>
          </w:p>
        </w:tc>
        <w:tc>
          <w:tcPr>
            <w:tcW w:type="dxa" w:w="1728"/>
          </w:tcPr>
          <w:p>
            <w:r/>
            <w:r>
              <w:rPr>
                <w:sz w:val="17"/>
              </w:rPr>
              <w:t>미실시</w:t>
            </w:r>
          </w:p>
        </w:tc>
        <w:tc>
          <w:tcPr>
            <w:tcW w:type="dxa" w:w="1584"/>
          </w:tcPr>
          <w:p>
            <w:r/>
            <w:r>
              <w:rPr>
                <w:sz w:val="17"/>
              </w:rPr>
            </w:r>
          </w:p>
        </w:tc>
      </w:tr>
      <w:tr>
        <w:tc>
          <w:tcPr>
            <w:tcW w:type="dxa" w:w="864"/>
          </w:tcPr>
          <w:p>
            <w:r/>
            <w:r>
              <w:rPr>
                <w:sz w:val="17"/>
              </w:rPr>
              <w:t>HYP-006</w:t>
            </w:r>
          </w:p>
        </w:tc>
        <w:tc>
          <w:tcPr>
            <w:tcW w:type="dxa" w:w="2160"/>
          </w:tcPr>
          <w:p>
            <w:r/>
            <w:r>
              <w:rPr>
                <w:sz w:val="17"/>
              </w:rPr>
              <w:t>임신부 · 임신성 당뇨 × 허가 밖 수요</w:t>
            </w:r>
          </w:p>
        </w:tc>
        <w:tc>
          <w:tcPr>
            <w:tcW w:type="dxa" w:w="1008"/>
          </w:tcPr>
          <w:p>
            <w:r/>
            <w:r>
              <w:rPr>
                <w:sz w:val="17"/>
              </w:rPr>
              <w:t>40회 / 26인</w:t>
            </w:r>
          </w:p>
        </w:tc>
        <w:tc>
          <w:tcPr>
            <w:tcW w:type="dxa" w:w="2016"/>
          </w:tcPr>
          <w:p>
            <w:r/>
            <w:r>
              <w:rPr>
                <w:sz w:val="17"/>
              </w:rPr>
              <w:t>미실시</w:t>
            </w:r>
          </w:p>
        </w:tc>
        <w:tc>
          <w:tcPr>
            <w:tcW w:type="dxa" w:w="1008"/>
          </w:tcPr>
          <w:p>
            <w:r/>
            <w:r>
              <w:rPr>
                <w:sz w:val="17"/>
              </w:rPr>
              <w:t>허가 범위 밖</w:t>
            </w:r>
          </w:p>
        </w:tc>
        <w:tc>
          <w:tcPr>
            <w:tcW w:type="dxa" w:w="1728"/>
          </w:tcPr>
          <w:p>
            <w:r/>
            <w:r>
              <w:rPr>
                <w:sz w:val="17"/>
              </w:rPr>
              <w:t>미실시</w:t>
            </w:r>
          </w:p>
        </w:tc>
        <w:tc>
          <w:tcPr>
            <w:tcW w:type="dxa" w:w="1584"/>
          </w:tcPr>
          <w:p>
            <w:r/>
            <w:r>
              <w:rPr>
                <w:sz w:val="17"/>
              </w:rPr>
            </w:r>
          </w:p>
        </w:tc>
      </w:tr>
      <w:tr>
        <w:tc>
          <w:tcPr>
            <w:tcW w:type="dxa" w:w="864"/>
          </w:tcPr>
          <w:p>
            <w:r/>
            <w:r>
              <w:rPr>
                <w:sz w:val="17"/>
              </w:rPr>
              <w:t>HYP-007</w:t>
            </w:r>
          </w:p>
        </w:tc>
        <w:tc>
          <w:tcPr>
            <w:tcW w:type="dxa" w:w="2160"/>
          </w:tcPr>
          <w:p>
            <w:r/>
            <w:r>
              <w:rPr>
                <w:sz w:val="17"/>
              </w:rPr>
              <w:t>청소년 10-17세 × 안전성과 내약성</w:t>
            </w:r>
          </w:p>
        </w:tc>
        <w:tc>
          <w:tcPr>
            <w:tcW w:type="dxa" w:w="1008"/>
          </w:tcPr>
          <w:p>
            <w:r/>
            <w:r>
              <w:rPr>
                <w:sz w:val="17"/>
              </w:rPr>
              <w:t>37회 / 23인</w:t>
            </w:r>
          </w:p>
        </w:tc>
        <w:tc>
          <w:tcPr>
            <w:tcW w:type="dxa" w:w="2016"/>
          </w:tcPr>
          <w:p>
            <w:r/>
            <w:r>
              <w:rPr>
                <w:sz w:val="17"/>
              </w:rPr>
              <w:t>미실시</w:t>
            </w:r>
          </w:p>
        </w:tc>
        <w:tc>
          <w:tcPr>
            <w:tcW w:type="dxa" w:w="1008"/>
          </w:tcPr>
          <w:p>
            <w:r/>
            <w:r>
              <w:rPr>
                <w:sz w:val="17"/>
              </w:rPr>
              <w:t>허가 범위 안</w:t>
            </w:r>
          </w:p>
        </w:tc>
        <w:tc>
          <w:tcPr>
            <w:tcW w:type="dxa" w:w="1728"/>
          </w:tcPr>
          <w:p>
            <w:r/>
            <w:r>
              <w:rPr>
                <w:sz w:val="17"/>
              </w:rPr>
              <w:t>미실시</w:t>
            </w:r>
          </w:p>
        </w:tc>
        <w:tc>
          <w:tcPr>
            <w:tcW w:type="dxa" w:w="1584"/>
          </w:tcPr>
          <w:p>
            <w:r/>
            <w:r>
              <w:rPr>
                <w:sz w:val="17"/>
              </w:rPr>
            </w:r>
          </w:p>
        </w:tc>
      </w:tr>
      <w:tr>
        <w:tc>
          <w:tcPr>
            <w:tcW w:type="dxa" w:w="864"/>
          </w:tcPr>
          <w:p>
            <w:r/>
            <w:r>
              <w:rPr>
                <w:sz w:val="17"/>
              </w:rPr>
              <w:t>HYP-008</w:t>
            </w:r>
          </w:p>
        </w:tc>
        <w:tc>
          <w:tcPr>
            <w:tcW w:type="dxa" w:w="2160"/>
          </w:tcPr>
          <w:p>
            <w:r/>
            <w:r>
              <w:rPr>
                <w:sz w:val="17"/>
              </w:rPr>
              <w:t>노인 65+ · 신기능 저하 × 안전성과 내약성</w:t>
            </w:r>
          </w:p>
        </w:tc>
        <w:tc>
          <w:tcPr>
            <w:tcW w:type="dxa" w:w="1008"/>
          </w:tcPr>
          <w:p>
            <w:r/>
            <w:r>
              <w:rPr>
                <w:sz w:val="17"/>
              </w:rPr>
              <w:t>33회 / 24인</w:t>
            </w:r>
          </w:p>
        </w:tc>
        <w:tc>
          <w:tcPr>
            <w:tcW w:type="dxa" w:w="2016"/>
          </w:tcPr>
          <w:p>
            <w:r/>
            <w:r>
              <w:rPr>
                <w:sz w:val="17"/>
              </w:rPr>
              <w:t>미실시</w:t>
            </w:r>
          </w:p>
        </w:tc>
        <w:tc>
          <w:tcPr>
            <w:tcW w:type="dxa" w:w="1008"/>
          </w:tcPr>
          <w:p>
            <w:r/>
            <w:r>
              <w:rPr>
                <w:sz w:val="17"/>
              </w:rPr>
              <w:t>허가 범위 안</w:t>
            </w:r>
          </w:p>
        </w:tc>
        <w:tc>
          <w:tcPr>
            <w:tcW w:type="dxa" w:w="1728"/>
          </w:tcPr>
          <w:p>
            <w:r/>
            <w:r>
              <w:rPr>
                <w:sz w:val="17"/>
              </w:rPr>
              <w:t>미실시</w:t>
            </w:r>
          </w:p>
        </w:tc>
        <w:tc>
          <w:tcPr>
            <w:tcW w:type="dxa" w:w="1584"/>
          </w:tcPr>
          <w:p>
            <w:r/>
            <w:r>
              <w:rPr>
                <w:sz w:val="17"/>
              </w:rPr>
            </w:r>
          </w:p>
        </w:tc>
      </w:tr>
      <w:tr>
        <w:tc>
          <w:tcPr>
            <w:tcW w:type="dxa" w:w="864"/>
          </w:tcPr>
          <w:p>
            <w:r/>
            <w:r>
              <w:rPr>
                <w:sz w:val="17"/>
              </w:rPr>
              <w:t>HYP-009</w:t>
            </w:r>
          </w:p>
        </w:tc>
        <w:tc>
          <w:tcPr>
            <w:tcW w:type="dxa" w:w="2160"/>
          </w:tcPr>
          <w:p>
            <w:r/>
            <w:r>
              <w:rPr>
                <w:sz w:val="17"/>
              </w:rPr>
              <w:t>당뇨 전단계 × 충족되지 않은 필요</w:t>
            </w:r>
          </w:p>
        </w:tc>
        <w:tc>
          <w:tcPr>
            <w:tcW w:type="dxa" w:w="1008"/>
          </w:tcPr>
          <w:p>
            <w:r/>
            <w:r>
              <w:rPr>
                <w:sz w:val="17"/>
              </w:rPr>
              <w:t>27회 / 21인</w:t>
            </w:r>
          </w:p>
        </w:tc>
        <w:tc>
          <w:tcPr>
            <w:tcW w:type="dxa" w:w="2016"/>
          </w:tcPr>
          <w:p>
            <w:r/>
            <w:r>
              <w:rPr>
                <w:sz w:val="17"/>
              </w:rPr>
              <w:t>미실시</w:t>
            </w:r>
          </w:p>
        </w:tc>
        <w:tc>
          <w:tcPr>
            <w:tcW w:type="dxa" w:w="1008"/>
          </w:tcPr>
          <w:p>
            <w:r/>
            <w:r>
              <w:rPr>
                <w:sz w:val="17"/>
              </w:rPr>
              <w:t>허가 범위 밖</w:t>
            </w:r>
          </w:p>
        </w:tc>
        <w:tc>
          <w:tcPr>
            <w:tcW w:type="dxa" w:w="1728"/>
          </w:tcPr>
          <w:p>
            <w:r/>
            <w:r>
              <w:rPr>
                <w:sz w:val="17"/>
              </w:rPr>
              <w:t>미실시</w:t>
            </w:r>
          </w:p>
        </w:tc>
        <w:tc>
          <w:tcPr>
            <w:tcW w:type="dxa" w:w="1584"/>
          </w:tcPr>
          <w:p>
            <w:r/>
            <w:r>
              <w:rPr>
                <w:sz w:val="17"/>
              </w:rPr>
            </w:r>
          </w:p>
        </w:tc>
      </w:tr>
      <w:tr>
        <w:tc>
          <w:tcPr>
            <w:tcW w:type="dxa" w:w="864"/>
          </w:tcPr>
          <w:p>
            <w:r/>
            <w:r>
              <w:rPr>
                <w:sz w:val="17"/>
              </w:rPr>
              <w:t>HYP-010</w:t>
            </w:r>
          </w:p>
        </w:tc>
        <w:tc>
          <w:tcPr>
            <w:tcW w:type="dxa" w:w="2160"/>
          </w:tcPr>
          <w:p>
            <w:r/>
            <w:r>
              <w:rPr>
                <w:sz w:val="17"/>
              </w:rPr>
              <w:t>유방암 환자 × 충족되지 않은 필요</w:t>
            </w:r>
          </w:p>
        </w:tc>
        <w:tc>
          <w:tcPr>
            <w:tcW w:type="dxa" w:w="1008"/>
          </w:tcPr>
          <w:p>
            <w:r/>
            <w:r>
              <w:rPr>
                <w:sz w:val="17"/>
              </w:rPr>
              <w:t>25회 / 20인</w:t>
            </w:r>
          </w:p>
        </w:tc>
        <w:tc>
          <w:tcPr>
            <w:tcW w:type="dxa" w:w="2016"/>
          </w:tcPr>
          <w:p>
            <w:r/>
            <w:r>
              <w:rPr>
                <w:sz w:val="17"/>
              </w:rPr>
              <w:t>미실시</w:t>
            </w:r>
          </w:p>
        </w:tc>
        <w:tc>
          <w:tcPr>
            <w:tcW w:type="dxa" w:w="1008"/>
          </w:tcPr>
          <w:p>
            <w:r/>
            <w:r>
              <w:rPr>
                <w:sz w:val="17"/>
              </w:rPr>
              <w:t>허가 범위 밖</w:t>
            </w:r>
          </w:p>
        </w:tc>
        <w:tc>
          <w:tcPr>
            <w:tcW w:type="dxa" w:w="1728"/>
          </w:tcPr>
          <w:p>
            <w:r/>
            <w:r>
              <w:rPr>
                <w:sz w:val="17"/>
              </w:rPr>
              <w:t>미실시</w:t>
            </w:r>
          </w:p>
        </w:tc>
        <w:tc>
          <w:tcPr>
            <w:tcW w:type="dxa" w:w="1584"/>
          </w:tcPr>
          <w:p>
            <w:r/>
            <w:r>
              <w:rPr>
                <w:sz w:val="17"/>
              </w:rPr>
            </w:r>
          </w:p>
        </w:tc>
      </w:tr>
      <w:tr>
        <w:tc>
          <w:tcPr>
            <w:tcW w:type="dxa" w:w="864"/>
          </w:tcPr>
          <w:p>
            <w:r/>
            <w:r>
              <w:rPr>
                <w:sz w:val="17"/>
              </w:rPr>
              <w:t>HYP-011</w:t>
            </w:r>
          </w:p>
        </w:tc>
        <w:tc>
          <w:tcPr>
            <w:tcW w:type="dxa" w:w="2160"/>
          </w:tcPr>
          <w:p>
            <w:r/>
            <w:r>
              <w:rPr>
                <w:sz w:val="17"/>
              </w:rPr>
              <w:t>소아 10세 미만 × 허가 밖 수요</w:t>
            </w:r>
          </w:p>
        </w:tc>
        <w:tc>
          <w:tcPr>
            <w:tcW w:type="dxa" w:w="1008"/>
          </w:tcPr>
          <w:p>
            <w:r/>
            <w:r>
              <w:rPr>
                <w:sz w:val="17"/>
              </w:rPr>
              <w:t>20회 / 17인</w:t>
            </w:r>
          </w:p>
        </w:tc>
        <w:tc>
          <w:tcPr>
            <w:tcW w:type="dxa" w:w="2016"/>
          </w:tcPr>
          <w:p>
            <w:r/>
            <w:r>
              <w:rPr>
                <w:sz w:val="17"/>
              </w:rPr>
              <w:t>미실시</w:t>
            </w:r>
          </w:p>
        </w:tc>
        <w:tc>
          <w:tcPr>
            <w:tcW w:type="dxa" w:w="1008"/>
          </w:tcPr>
          <w:p>
            <w:r/>
            <w:r>
              <w:rPr>
                <w:sz w:val="17"/>
              </w:rPr>
              <w:t>허가 범위 밖</w:t>
            </w:r>
          </w:p>
        </w:tc>
        <w:tc>
          <w:tcPr>
            <w:tcW w:type="dxa" w:w="1728"/>
          </w:tcPr>
          <w:p>
            <w:r/>
            <w:r>
              <w:rPr>
                <w:sz w:val="17"/>
              </w:rPr>
              <w:t>미실시</w:t>
            </w:r>
          </w:p>
        </w:tc>
        <w:tc>
          <w:tcPr>
            <w:tcW w:type="dxa" w:w="1584"/>
          </w:tcPr>
          <w:p>
            <w:r/>
            <w:r>
              <w:rPr>
                <w:sz w:val="17"/>
              </w:rPr>
            </w:r>
          </w:p>
        </w:tc>
      </w:tr>
      <w:tr>
        <w:tc>
          <w:tcPr>
            <w:tcW w:type="dxa" w:w="864"/>
          </w:tcPr>
          <w:p>
            <w:r/>
            <w:r>
              <w:rPr>
                <w:sz w:val="17"/>
              </w:rPr>
              <w:t>HYP-012</w:t>
            </w:r>
          </w:p>
        </w:tc>
        <w:tc>
          <w:tcPr>
            <w:tcW w:type="dxa" w:w="2160"/>
          </w:tcPr>
          <w:p>
            <w:r/>
            <w:r>
              <w:rPr>
                <w:sz w:val="17"/>
              </w:rPr>
              <w:t>PCOS 여성 × 용량과 제형</w:t>
            </w:r>
          </w:p>
        </w:tc>
        <w:tc>
          <w:tcPr>
            <w:tcW w:type="dxa" w:w="1008"/>
          </w:tcPr>
          <w:p>
            <w:r/>
            <w:r>
              <w:rPr>
                <w:sz w:val="17"/>
              </w:rPr>
              <w:t>18회 / 16인</w:t>
            </w:r>
          </w:p>
        </w:tc>
        <w:tc>
          <w:tcPr>
            <w:tcW w:type="dxa" w:w="2016"/>
          </w:tcPr>
          <w:p>
            <w:r/>
            <w:r>
              <w:rPr>
                <w:sz w:val="17"/>
              </w:rPr>
              <w:t>미실시</w:t>
            </w:r>
          </w:p>
        </w:tc>
        <w:tc>
          <w:tcPr>
            <w:tcW w:type="dxa" w:w="1008"/>
          </w:tcPr>
          <w:p>
            <w:r/>
            <w:r>
              <w:rPr>
                <w:sz w:val="17"/>
              </w:rPr>
              <w:t>허가 범위 밖</w:t>
            </w:r>
          </w:p>
        </w:tc>
        <w:tc>
          <w:tcPr>
            <w:tcW w:type="dxa" w:w="1728"/>
          </w:tcPr>
          <w:p>
            <w:r/>
            <w:r>
              <w:rPr>
                <w:sz w:val="17"/>
              </w:rPr>
              <w:t>미실시</w:t>
            </w:r>
          </w:p>
        </w:tc>
        <w:tc>
          <w:tcPr>
            <w:tcW w:type="dxa" w:w="1584"/>
          </w:tcPr>
          <w:p>
            <w:r/>
            <w:r>
              <w:rPr>
                <w:sz w:val="17"/>
              </w:rPr>
            </w:r>
          </w:p>
        </w:tc>
      </w:tr>
      <w:tr>
        <w:tc>
          <w:tcPr>
            <w:tcW w:type="dxa" w:w="864"/>
          </w:tcPr>
          <w:p>
            <w:r/>
            <w:r>
              <w:rPr>
                <w:sz w:val="17"/>
              </w:rPr>
              <w:t>HYP-013</w:t>
            </w:r>
          </w:p>
        </w:tc>
        <w:tc>
          <w:tcPr>
            <w:tcW w:type="dxa" w:w="2160"/>
          </w:tcPr>
          <w:p>
            <w:r/>
            <w:r>
              <w:rPr>
                <w:sz w:val="17"/>
              </w:rPr>
              <w:t>당뇨 전단계 × 다른 용도</w:t>
            </w:r>
          </w:p>
        </w:tc>
        <w:tc>
          <w:tcPr>
            <w:tcW w:type="dxa" w:w="1008"/>
          </w:tcPr>
          <w:p>
            <w:r/>
            <w:r>
              <w:rPr>
                <w:sz w:val="17"/>
              </w:rPr>
              <w:t>14회 / 12인</w:t>
            </w:r>
          </w:p>
        </w:tc>
        <w:tc>
          <w:tcPr>
            <w:tcW w:type="dxa" w:w="2016"/>
          </w:tcPr>
          <w:p>
            <w:r/>
            <w:r>
              <w:rPr>
                <w:sz w:val="17"/>
              </w:rPr>
              <w:t>미실시</w:t>
            </w:r>
          </w:p>
        </w:tc>
        <w:tc>
          <w:tcPr>
            <w:tcW w:type="dxa" w:w="1008"/>
          </w:tcPr>
          <w:p>
            <w:r/>
            <w:r>
              <w:rPr>
                <w:sz w:val="17"/>
              </w:rPr>
              <w:t>허가 범위 밖</w:t>
            </w:r>
          </w:p>
        </w:tc>
        <w:tc>
          <w:tcPr>
            <w:tcW w:type="dxa" w:w="1728"/>
          </w:tcPr>
          <w:p>
            <w:r/>
            <w:r>
              <w:rPr>
                <w:sz w:val="17"/>
              </w:rPr>
              <w:t>미실시</w:t>
            </w:r>
          </w:p>
        </w:tc>
        <w:tc>
          <w:tcPr>
            <w:tcW w:type="dxa" w:w="1584"/>
          </w:tcPr>
          <w:p>
            <w:r/>
            <w:r>
              <w:rPr>
                <w:sz w:val="17"/>
              </w:rPr>
            </w:r>
          </w:p>
        </w:tc>
      </w:tr>
      <w:tr>
        <w:tc>
          <w:tcPr>
            <w:tcW w:type="dxa" w:w="864"/>
          </w:tcPr>
          <w:p>
            <w:r/>
            <w:r>
              <w:rPr>
                <w:sz w:val="17"/>
              </w:rPr>
              <w:t>HYP-014</w:t>
            </w:r>
          </w:p>
        </w:tc>
        <w:tc>
          <w:tcPr>
            <w:tcW w:type="dxa" w:w="2160"/>
          </w:tcPr>
          <w:p>
            <w:r/>
            <w:r>
              <w:rPr>
                <w:sz w:val="17"/>
              </w:rPr>
              <w:t>유방암 환자 × 허가 밖 사용 경험</w:t>
            </w:r>
          </w:p>
        </w:tc>
        <w:tc>
          <w:tcPr>
            <w:tcW w:type="dxa" w:w="1008"/>
          </w:tcPr>
          <w:p>
            <w:r/>
            <w:r>
              <w:rPr>
                <w:sz w:val="17"/>
              </w:rPr>
              <w:t>11회 / 11인</w:t>
            </w:r>
          </w:p>
        </w:tc>
        <w:tc>
          <w:tcPr>
            <w:tcW w:type="dxa" w:w="2016"/>
          </w:tcPr>
          <w:p>
            <w:r/>
            <w:r>
              <w:rPr>
                <w:sz w:val="17"/>
              </w:rPr>
              <w:t>미실시</w:t>
            </w:r>
          </w:p>
        </w:tc>
        <w:tc>
          <w:tcPr>
            <w:tcW w:type="dxa" w:w="1008"/>
          </w:tcPr>
          <w:p>
            <w:r/>
            <w:r>
              <w:rPr>
                <w:sz w:val="17"/>
              </w:rPr>
              <w:t>허가 범위 밖</w:t>
            </w:r>
          </w:p>
        </w:tc>
        <w:tc>
          <w:tcPr>
            <w:tcW w:type="dxa" w:w="1728"/>
          </w:tcPr>
          <w:p>
            <w:r/>
            <w:r>
              <w:rPr>
                <w:sz w:val="17"/>
              </w:rPr>
              <w:t>미실시</w:t>
            </w:r>
          </w:p>
        </w:tc>
        <w:tc>
          <w:tcPr>
            <w:tcW w:type="dxa" w:w="1584"/>
          </w:tcPr>
          <w:p>
            <w:r/>
            <w:r>
              <w:rPr>
                <w:sz w:val="17"/>
              </w:rPr>
            </w:r>
          </w:p>
        </w:tc>
      </w:tr>
      <w:tr>
        <w:tc>
          <w:tcPr>
            <w:tcW w:type="dxa" w:w="864"/>
          </w:tcPr>
          <w:p>
            <w:r/>
            <w:r>
              <w:rPr>
                <w:sz w:val="17"/>
              </w:rPr>
              <w:t>HYP-015</w:t>
            </w:r>
          </w:p>
        </w:tc>
        <w:tc>
          <w:tcPr>
            <w:tcW w:type="dxa" w:w="2160"/>
          </w:tcPr>
          <w:p>
            <w:r/>
            <w:r>
              <w:rPr>
                <w:sz w:val="17"/>
              </w:rPr>
              <w:t>당뇨 전단계 × 허가 밖 사용 경험</w:t>
            </w:r>
          </w:p>
        </w:tc>
        <w:tc>
          <w:tcPr>
            <w:tcW w:type="dxa" w:w="1008"/>
          </w:tcPr>
          <w:p>
            <w:r/>
            <w:r>
              <w:rPr>
                <w:sz w:val="17"/>
              </w:rPr>
              <w:t>5회 / 5인</w:t>
            </w:r>
          </w:p>
        </w:tc>
        <w:tc>
          <w:tcPr>
            <w:tcW w:type="dxa" w:w="2016"/>
          </w:tcPr>
          <w:p>
            <w:r/>
            <w:r>
              <w:rPr>
                <w:sz w:val="17"/>
              </w:rPr>
              <w:t>미실시</w:t>
            </w:r>
          </w:p>
        </w:tc>
        <w:tc>
          <w:tcPr>
            <w:tcW w:type="dxa" w:w="1008"/>
          </w:tcPr>
          <w:p>
            <w:r/>
            <w:r>
              <w:rPr>
                <w:sz w:val="17"/>
              </w:rPr>
              <w:t>허가 범위 밖</w:t>
            </w:r>
          </w:p>
        </w:tc>
        <w:tc>
          <w:tcPr>
            <w:tcW w:type="dxa" w:w="1728"/>
          </w:tcPr>
          <w:p>
            <w:r/>
            <w:r>
              <w:rPr>
                <w:sz w:val="17"/>
              </w:rPr>
              <w:t>미실시</w:t>
            </w:r>
          </w:p>
        </w:tc>
        <w:tc>
          <w:tcPr>
            <w:tcW w:type="dxa" w:w="1584"/>
          </w:tcPr>
          <w:p>
            <w:r/>
            <w:r>
              <w:rPr>
                <w:sz w:val="17"/>
              </w:rPr>
            </w:r>
          </w:p>
        </w:tc>
      </w:tr>
    </w:tbl>
    <w:p>
      <w:pPr>
        <w:spacing w:after="40"/>
      </w:pPr>
    </w:p>
    <w:p>
      <w:pPr>
        <w:spacing w:after="120"/>
      </w:pPr>
      <w:r>
        <w:rPr>
          <w:b w:val="0"/>
          <w:color w:val="555555"/>
          <w:sz w:val="19"/>
        </w:rPr>
        <w:t>현장 칸은 언급 횟수와 독립 의료진 수, 외부 근거 칸은 판독 에이전트가 표시한 건수(코드 집계)다. 인용을 원문에서 찾지 못해 버린 건수는 화면에 따로 표시된다.</w:t>
      </w:r>
    </w:p>
    <w:p>
      <w:pPr>
        <w:jc w:val="center"/>
      </w:pPr>
      <w:r>
        <w:drawing>
          <wp:inline xmlns:a="http://schemas.openxmlformats.org/drawingml/2006/main" xmlns:pic="http://schemas.openxmlformats.org/drawingml/2006/picture">
            <wp:extent cx="5852160" cy="46931580"/>
            <wp:docPr id="3" name="Picture 3"/>
            <wp:cNvGraphicFramePr>
              <a:graphicFrameLocks noChangeAspect="1"/>
            </wp:cNvGraphicFramePr>
            <a:graphic>
              <a:graphicData uri="http://schemas.openxmlformats.org/drawingml/2006/picture">
                <pic:pic>
                  <pic:nvPicPr>
                    <pic:cNvPr id="0" name="hyp_detail.png"/>
                    <pic:cNvPicPr/>
                  </pic:nvPicPr>
                  <pic:blipFill>
                    <a:blip r:embed="rId15"/>
                    <a:stretch>
                      <a:fillRect/>
                    </a:stretch>
                  </pic:blipFill>
                  <pic:spPr>
                    <a:xfrm>
                      <a:off x="0" y="0"/>
                      <a:ext cx="5852160" cy="46931580"/>
                    </a:xfrm>
                    <a:prstGeom prst="rect"/>
                  </pic:spPr>
                </pic:pic>
              </a:graphicData>
            </a:graphic>
          </wp:inline>
        </w:drawing>
      </w:r>
    </w:p>
    <w:p>
      <w:pPr>
        <w:spacing w:after="200"/>
      </w:pPr>
      <w:r>
        <w:rPr>
          <w:b w:val="0"/>
          <w:color w:val="555555"/>
          <w:sz w:val="18"/>
        </w:rPr>
        <w:t>가설 상세. 현장 발언(원문 위치), 검색식, 외부 근거 지표, 판정별 근거 표를 한 화면에 둔다.</w:t>
      </w:r>
    </w:p>
    <w:p>
      <w:pPr>
        <w:jc w:val="center"/>
      </w:pPr>
      <w:r>
        <w:drawing>
          <wp:inline xmlns:a="http://schemas.openxmlformats.org/drawingml/2006/main" xmlns:pic="http://schemas.openxmlformats.org/drawingml/2006/picture">
            <wp:extent cx="5852160" cy="9995925"/>
            <wp:docPr id="4" name="Picture 4"/>
            <wp:cNvGraphicFramePr>
              <a:graphicFrameLocks noChangeAspect="1"/>
            </wp:cNvGraphicFramePr>
            <a:graphic>
              <a:graphicData uri="http://schemas.openxmlformats.org/drawingml/2006/picture">
                <pic:pic>
                  <pic:nvPicPr>
                    <pic:cNvPr id="0" name="boardroom_top.png"/>
                    <pic:cNvPicPr/>
                  </pic:nvPicPr>
                  <pic:blipFill>
                    <a:blip r:embed="rId16"/>
                    <a:stretch>
                      <a:fillRect/>
                    </a:stretch>
                  </pic:blipFill>
                  <pic:spPr>
                    <a:xfrm>
                      <a:off x="0" y="0"/>
                      <a:ext cx="5852160" cy="9995925"/>
                    </a:xfrm>
                    <a:prstGeom prst="rect"/>
                  </pic:spPr>
                </pic:pic>
              </a:graphicData>
            </a:graphic>
          </wp:inline>
        </w:drawing>
      </w:r>
    </w:p>
    <w:p>
      <w:pPr>
        <w:spacing w:after="200"/>
      </w:pPr>
      <w:r>
        <w:rPr>
          <w:b w:val="0"/>
          <w:color w:val="555555"/>
          <w:sz w:val="18"/>
        </w:rPr>
        <w:t>AI Board 회의실. 회의 정보, 참석자 레일, 간사의 소집 질의, 임원 발언 순서로 재생된다.</w:t>
      </w:r>
    </w:p>
    <w:p>
      <w:pPr>
        <w:jc w:val="center"/>
      </w:pPr>
      <w:r>
        <w:drawing>
          <wp:inline xmlns:a="http://schemas.openxmlformats.org/drawingml/2006/main" xmlns:pic="http://schemas.openxmlformats.org/drawingml/2006/picture">
            <wp:extent cx="5852160" cy="6815404"/>
            <wp:docPr id="5" name="Picture 5"/>
            <wp:cNvGraphicFramePr>
              <a:graphicFrameLocks noChangeAspect="1"/>
            </wp:cNvGraphicFramePr>
            <a:graphic>
              <a:graphicData uri="http://schemas.openxmlformats.org/drawingml/2006/picture">
                <pic:pic>
                  <pic:nvPicPr>
                    <pic:cNvPr id="0" name="boardroom_verdict.png"/>
                    <pic:cNvPicPr/>
                  </pic:nvPicPr>
                  <pic:blipFill>
                    <a:blip r:embed="rId17"/>
                    <a:stretch>
                      <a:fillRect/>
                    </a:stretch>
                  </pic:blipFill>
                  <pic:spPr>
                    <a:xfrm>
                      <a:off x="0" y="0"/>
                      <a:ext cx="5852160" cy="6815404"/>
                    </a:xfrm>
                    <a:prstGeom prst="rect"/>
                  </pic:spPr>
                </pic:pic>
              </a:graphicData>
            </a:graphic>
          </wp:inline>
        </w:drawing>
      </w:r>
    </w:p>
    <w:p>
      <w:pPr>
        <w:spacing w:after="200"/>
      </w:pPr>
      <w:r>
        <w:rPr>
          <w:b w:val="0"/>
          <w:color w:val="555555"/>
          <w:sz w:val="18"/>
        </w:rPr>
        <w:t>회의 끝의 의장 판정 패널. 최종 입장 집계와 권고를 보여 주고, 추진, 조건부 추진, 보류, 기각 중 하나를 의장 서명과 함께 받는다.</w:t>
      </w:r>
    </w:p>
    <w:p>
      <w:pPr>
        <w:jc w:val="center"/>
      </w:pPr>
      <w:r>
        <w:drawing>
          <wp:inline xmlns:a="http://schemas.openxmlformats.org/drawingml/2006/main" xmlns:pic="http://schemas.openxmlformats.org/drawingml/2006/picture">
            <wp:extent cx="5852160" cy="3200400"/>
            <wp:docPr id="6" name="Picture 6"/>
            <wp:cNvGraphicFramePr>
              <a:graphicFrameLocks noChangeAspect="1"/>
            </wp:cNvGraphicFramePr>
            <a:graphic>
              <a:graphicData uri="http://schemas.openxmlformats.org/drawingml/2006/picture">
                <pic:pic>
                  <pic:nvPicPr>
                    <pic:cNvPr id="0" name="checklist.png"/>
                    <pic:cNvPicPr/>
                  </pic:nvPicPr>
                  <pic:blipFill>
                    <a:blip r:embed="rId18"/>
                    <a:stretch>
                      <a:fillRect/>
                    </a:stretch>
                  </pic:blipFill>
                  <pic:spPr>
                    <a:xfrm>
                      <a:off x="0" y="0"/>
                      <a:ext cx="5852160" cy="3200400"/>
                    </a:xfrm>
                    <a:prstGeom prst="rect"/>
                  </pic:spPr>
                </pic:pic>
              </a:graphicData>
            </a:graphic>
          </wp:inline>
        </w:drawing>
      </w:r>
    </w:p>
    <w:p>
      <w:pPr>
        <w:spacing w:after="200"/>
      </w:pPr>
      <w:r>
        <w:rPr>
          <w:b w:val="0"/>
          <w:color w:val="555555"/>
          <w:sz w:val="18"/>
        </w:rPr>
        <w:t>다음 면담 체크리스트. 판정에서 채택된 후속 질문이 항목으로 내려간다.</w:t>
      </w:r>
    </w:p>
    <w:p>
      <w:pPr>
        <w:pStyle w:val="Heading1"/>
      </w:pPr>
      <w:r>
        <w:rPr>
          <w:color w:val="162661"/>
        </w:rPr>
        <w:t>6. 심사 기준별 대응</w:t>
      </w:r>
    </w:p>
    <w:tbl>
      <w:tblPr>
        <w:tblStyle w:val="TableGrid"/>
        <w:tblW w:type="auto" w:w="0"/>
        <w:tblLook w:firstColumn="1" w:firstRow="1" w:lastColumn="0" w:lastRow="0" w:noHBand="0" w:noVBand="1" w:val="04A0"/>
      </w:tblPr>
      <w:tblGrid>
        <w:gridCol w:w="4824"/>
        <w:gridCol w:w="4824"/>
      </w:tblGrid>
      <w:tr>
        <w:tc>
          <w:tcPr>
            <w:tcW w:type="dxa" w:w="2592"/>
          </w:tcPr>
          <w:p>
            <w:r/>
            <w:r>
              <w:rPr>
                <w:b/>
                <w:sz w:val="19"/>
              </w:rPr>
              <w:t>기준</w:t>
            </w:r>
          </w:p>
        </w:tc>
        <w:tc>
          <w:tcPr>
            <w:tcW w:type="dxa" w:w="7056"/>
          </w:tcPr>
          <w:p>
            <w:r/>
            <w:r>
              <w:rPr>
                <w:b/>
                <w:sz w:val="19"/>
              </w:rPr>
              <w:t>해당 내용</w:t>
            </w:r>
          </w:p>
        </w:tc>
      </w:tr>
      <w:tr>
        <w:tc>
          <w:tcPr>
            <w:tcW w:type="dxa" w:w="2592"/>
          </w:tcPr>
          <w:p>
            <w:r/>
            <w:r>
              <w:rPr>
                <w:sz w:val="19"/>
              </w:rPr>
              <w:t>NVIDIA Agent 기술 활용 심도</w:t>
            </w:r>
          </w:p>
        </w:tc>
        <w:tc>
          <w:tcPr>
            <w:tcW w:type="dxa" w:w="7056"/>
          </w:tcPr>
          <w:p>
            <w:r/>
            <w:r>
              <w:rPr>
                <w:sz w:val="19"/>
              </w:rPr>
              <w:t>Nemotron 3 Ultra를 함수 호출과 JSON 스키마 강제, 단계별 reasoning 모드 제어로 사용한다. 판독 에이전트 3종과 임원 에이전트 7인이 병렬로 돌고, 인용 검증과 입장 집계는 코드가 한다. Agent Skills 규격의 스킬과 OpenShell 정책 명세를 포함한다.</w:t>
            </w:r>
          </w:p>
        </w:tc>
      </w:tr>
      <w:tr>
        <w:tc>
          <w:tcPr>
            <w:tcW w:type="dxa" w:w="2592"/>
          </w:tcPr>
          <w:p>
            <w:r/>
            <w:r>
              <w:rPr>
                <w:sz w:val="19"/>
              </w:rPr>
              <w:t>실용성, 산업가치, 혁신성</w:t>
            </w:r>
          </w:p>
        </w:tc>
        <w:tc>
          <w:tcPr>
            <w:tcW w:type="dxa" w:w="7056"/>
          </w:tcPr>
          <w:p>
            <w:r/>
            <w:r>
              <w:rPr>
                <w:sz w:val="19"/>
              </w:rPr>
              <w:t>의학부의 실제 업무 흐름과 규제 제약을 그대로 설계에 넣었다. 요약이 아니라 원문 위치가 붙은 근거를 만들고, 상업 액션은 코드가 막는다.</w:t>
            </w:r>
          </w:p>
        </w:tc>
      </w:tr>
      <w:tr>
        <w:tc>
          <w:tcPr>
            <w:tcW w:type="dxa" w:w="2592"/>
          </w:tcPr>
          <w:p>
            <w:r/>
            <w:r>
              <w:rPr>
                <w:sz w:val="19"/>
              </w:rPr>
              <w:t>완성도</w:t>
            </w:r>
          </w:p>
        </w:tc>
        <w:tc>
          <w:tcPr>
            <w:tcW w:type="dxa" w:w="7056"/>
          </w:tcPr>
          <w:p>
            <w:r/>
            <w:r>
              <w:rPr>
                <w:sz w:val="19"/>
              </w:rPr>
              <w:t>콘솔 7화면이 배포돼 있고 서명, 심의, 판정을 화면에서 실제로 실행할 수 있다. 실행 기록과 캐시로 같은 결과를 재현한다.</w:t>
            </w:r>
          </w:p>
        </w:tc>
      </w:tr>
      <w:tr>
        <w:tc>
          <w:tcPr>
            <w:tcW w:type="dxa" w:w="2592"/>
          </w:tcPr>
          <w:p>
            <w:r/>
            <w:r>
              <w:rPr>
                <w:sz w:val="19"/>
              </w:rPr>
              <w:t>커스터마이징, 독창성</w:t>
            </w:r>
          </w:p>
        </w:tc>
        <w:tc>
          <w:tcPr>
            <w:tcW w:type="dxa" w:w="7056"/>
          </w:tcPr>
          <w:p>
            <w:r/>
            <w:r>
              <w:rPr>
                <w:sz w:val="19"/>
              </w:rPr>
              <w:t>환자군과 신호 유형을 사람이 정하는 고정 헤더, 원문 위치를 요구하는 인용 검증기, 판단 문장의 5단계 표기(사실, 패턴, 해석, 제안, 실행), 확신도 가중 집계로 정하는 권고.</w:t>
            </w:r>
          </w:p>
        </w:tc>
      </w:tr>
    </w:tbl>
    <w:p>
      <w:pPr>
        <w:spacing w:after="40"/>
      </w:pPr>
    </w:p>
    <w:p>
      <w:pPr>
        <w:pStyle w:val="Heading1"/>
      </w:pPr>
      <w:r>
        <w:rPr>
          <w:color w:val="162661"/>
        </w:rPr>
        <w:t>7. 한계와 남은 일</w:t>
      </w:r>
    </w:p>
    <w:p>
      <w:pPr>
        <w:pStyle w:val="ListBullet"/>
        <w:spacing w:after="40"/>
      </w:pPr>
      <w:r>
        <w:t>OpenShell 안에서 실행하지 않았다. 개발 환경이 macOS라 정책 명세만 만들었고, 본선에서 Brev 환경에 적용하는 것이 첫 작업이다.</w:t>
      </w:r>
    </w:p>
    <w:p>
      <w:pPr>
        <w:pStyle w:val="ListBullet"/>
        <w:spacing w:after="40"/>
      </w:pPr>
      <w:r>
        <w:t>면담 기록에 권역 정보가 없어 지역별 집계 화면은 비어 있다. 원본 콘솔 화면 중 데이터 계약 편집, 배치 판독, 시뮬레이터, 시장 화면은 이번 예선 백엔드가 제공하지 않아 메뉴에서 뺐다.</w:t>
      </w:r>
    </w:p>
    <w:p>
      <w:pPr>
        <w:pStyle w:val="ListBullet"/>
        <w:spacing w:after="40"/>
      </w:pPr>
      <w:r>
        <w:t>같은 근거로 심의를 다시 열면 권고가 보류와 기각 사이에서 달라질 수 있다. 결정은 사람이 하므로 권고는 참고값이다. 같은 서명자와 같은 근거면 캐시로 같은 회의가 재생된다.</w:t>
      </w:r>
    </w:p>
    <w:p>
      <w:pPr>
        <w:pStyle w:val="ListBullet"/>
        <w:spacing w:after="40"/>
      </w:pPr>
      <w:r>
        <w:t>무료 NIM 엔드포인트는 분당 호출 수 제한이 있어 면담 282건 추출에 약 40분이 걸렸고 한 번은 속도 제한으로 중단돼 백오프를 늘려 다시 돌렸다.</w:t>
      </w:r>
    </w:p>
    <w:p>
      <w:pPr>
        <w:pStyle w:val="ListBullet"/>
        <w:spacing w:after="40"/>
      </w:pPr>
      <w:r>
        <w:t>근거 후보 선별은 PubMed 관련도순에 무작위 대조시험 우선 조회를 더한 것이다. 임베딩 기반 선별은 하지 않았다.</w:t>
      </w:r>
    </w:p>
    <w:p>
      <w:pPr>
        <w:pStyle w:val="Heading1"/>
      </w:pPr>
      <w:r>
        <w:rPr>
          <w:color w:val="162661"/>
        </w:rPr>
        <w:t>부록 A. 실행 방법</w:t>
      </w:r>
    </w:p>
    <w:p>
      <w:pPr>
        <w:spacing w:after="120"/>
      </w:pPr>
      <w:r>
        <w:rPr>
          <w:b w:val="0"/>
        </w:rPr>
        <w:t>백엔드: uv sync 뒤 .env에 NVIDIA_API_KEY(build.nvidia.com에서 무료 발급)를 넣고 uv run uvicorn loop.web:app --port 8030. 콘솔: console 폴더에서 npm install 뒤 NEXT_PUBLIC_API_BASE_URL=http://localhost:8030/api npm run dev. 명령줄로도 같은 단계를 실행할 수 있다(uv run python -m loop.cli sense | screen | review | board | approve). 공개 API 응답과 모델 응답이 저장소에 캐시돼 있어 키 없이도 같은 입력은 즉시 재생된다.</w:t>
      </w:r>
    </w:p>
    <w:p>
      <w:pPr>
        <w:pStyle w:val="Heading1"/>
      </w:pPr>
      <w:r>
        <w:rPr>
          <w:color w:val="162661"/>
        </w:rPr>
        <w:t>부록 B. 데이터와 보안</w:t>
      </w:r>
    </w:p>
    <w:p>
      <w:pPr>
        <w:spacing w:after="120"/>
      </w:pPr>
      <w:r>
        <w:rPr>
          <w:b w:val="0"/>
        </w:rPr>
        <w:t>면담 기록은 전부 합성이며 실제 환자, 의료진, 기관 정보가 없다. 근거는 공개 API만 쓴다. API 키는 호스트 환경변수에만 있고 캐시, 로그, 저장소에 남지 않는다. 무료 엔드포인트 약관상 입력이 서비스 개선에 쓰일 수 있으므로 합성 데이터만 보냈다.</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 SD Gothic Neo" w:hAnsi="Apple SD Gothic Neo" w:eastAsia="Apple SD Gothic Ne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lphi-console-production-8ae8.up.railway.app" TargetMode="External"/><Relationship Id="rId10" Type="http://schemas.openxmlformats.org/officeDocument/2006/relationships/hyperlink" Target="https://delphi-web-production-52d6.up.railway.app" TargetMode="External"/><Relationship Id="rId11" Type="http://schemas.openxmlformats.org/officeDocument/2006/relationships/hyperlink" Target="https://github.com/coldtype-08/delphi-evidence-loop" TargetMode="External"/><Relationship Id="rId12" Type="http://schemas.openxmlformats.org/officeDocument/2006/relationships/hyperlink" Target="https://github.com/coldtype-08/delphi-evidence-loop/blob/main/docs/demo_run.txt"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