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2"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 cole.brokamp@cchmc.org</w:t>
      </w:r>
    </w:p>
    <w:p>
      <w:pPr>
        <w:pStyle w:val="Compact"/>
        <w:numPr>
          <w:ilvl w:val="0"/>
          <w:numId w:val="1002"/>
        </w:numPr>
      </w:pPr>
      <w:r>
        <w:t xml:space="preserve">Homepage: https://colebrokamp.com</w:t>
      </w:r>
    </w:p>
    <w:p>
      <w:pPr>
        <w:pStyle w:val="Compact"/>
        <w:numPr>
          <w:ilvl w:val="0"/>
          <w:numId w:val="1002"/>
        </w:numPr>
      </w:pPr>
      <w:r>
        <w:t xml:space="preserve">ORCID:</w:t>
      </w:r>
      <w:r>
        <w:t xml:space="preserve"> </w:t>
      </w:r>
      <w:hyperlink r:id="rId21">
        <w:r>
          <w:rPr>
            <w:rStyle w:val="Hyperlink"/>
          </w:rPr>
          <w:t xml:space="preserve">0000-0002-0289-3151</w:t>
        </w:r>
      </w:hyperlink>
    </w:p>
    <w:bookmarkEnd w:id="22"/>
    <w:bookmarkStart w:id="25" w:name="education"/>
    <w:p>
      <w:pPr>
        <w:pStyle w:val="Heading1"/>
      </w:pPr>
      <w:r>
        <w:t xml:space="preserve">Education</w:t>
      </w:r>
    </w:p>
    <w:bookmarkStart w:id="23"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3"/>
    <w:bookmarkStart w:id="24"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4"/>
    <w:bookmarkEnd w:id="25"/>
    <w:bookmarkStart w:id="26"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6"/>
    <w:bookmarkStart w:id="27"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7"/>
    <w:bookmarkStart w:id="28"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28"/>
    <w:bookmarkStart w:id="38" w:name="research-and-scholarly-activities"/>
    <w:p>
      <w:pPr>
        <w:pStyle w:val="Heading1"/>
      </w:pPr>
      <w:r>
        <w:t xml:space="preserve">Research and Scholarly Activities</w:t>
      </w:r>
    </w:p>
    <w:bookmarkStart w:id="29"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29"/>
    <w:bookmarkStart w:id="32" w:name="grants-and-contracts"/>
    <w:p>
      <w:pPr>
        <w:pStyle w:val="Heading2"/>
      </w:pPr>
      <w:r>
        <w:t xml:space="preserve">Grants and Contracts</w:t>
      </w:r>
    </w:p>
    <w:bookmarkStart w:id="30"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0"/>
    <w:bookmarkStart w:id="31"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1"/>
    <w:bookmarkEnd w:id="32"/>
    <w:bookmarkStart w:id="35" w:name="publications"/>
    <w:p>
      <w:pPr>
        <w:pStyle w:val="Heading2"/>
      </w:pPr>
      <w:r>
        <w:t xml:space="preserve">Publications</w:t>
      </w:r>
    </w:p>
    <w:bookmarkStart w:id="33"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30(1):31-38.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Pediatric Infectious Diseases Society-Infectious Diseases Society of America Severity Criteria in Children With Community-Acquired Pneumonia.</w:t>
      </w:r>
      <w:r>
        <w:t xml:space="preserve"> </w:t>
      </w:r>
      <w:r>
        <w:rPr>
          <w:i/>
          <w:iCs/>
        </w:rPr>
        <w:t xml:space="preserve">Clinical Infectious Diseases</w:t>
      </w:r>
      <w:r>
        <w:t xml:space="preserve">. 67(1):112-119.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Pervasive Income-Based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23(2):225-232.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3(30):812.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Association with Childhood Behavioral Outcomes.</w:t>
      </w:r>
      <w:r>
        <w:t xml:space="preserve"> </w:t>
      </w:r>
      <w:r>
        <w:rPr>
          <w:i/>
          <w:iCs/>
        </w:rPr>
        <w:t xml:space="preserve">Journal of Pediatrics</w:t>
      </w:r>
      <w:r>
        <w:t xml:space="preserve">. 207:233-240. 2019.</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30:37-43.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668:760-767.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38(9):894-899.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143(6):2002-2006.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144(6):e20190748.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127(9):097006.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70(3):364-370.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39(6):740-756.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135(2):387-395.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104(11):2346-2353.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First-Year Healthcare Utilization.</w:t>
      </w:r>
      <w:r>
        <w:t xml:space="preserve"> </w:t>
      </w:r>
      <w:r>
        <w:rPr>
          <w:i/>
          <w:iCs/>
        </w:rPr>
        <w:t xml:space="preserve">Journal of Pediatrics</w:t>
      </w:r>
      <w:r>
        <w:t xml:space="preserve">. 222:52-58.e1.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14(7):737-748.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Shah. Biomarkers and Disease Severity in Children with Community-Acquired Pneumonia.</w:t>
      </w:r>
      <w:r>
        <w:t xml:space="preserve"> </w:t>
      </w:r>
      <w:r>
        <w:rPr>
          <w:i/>
          <w:iCs/>
        </w:rPr>
        <w:t xml:space="preserve">Pediatrics</w:t>
      </w:r>
      <w:r>
        <w:t xml:space="preserve">. 145(6):e20193728.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5(1):e21.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21(3):1206-1214. 2021.</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73(3):e524-e530.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 Keogh, Yizhao Ni, John P. Clancy, Patrick Ryan, Rhonda D. 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776:145905. 2021.</w:t>
      </w:r>
    </w:p>
    <w:p>
      <w:pPr>
        <w:pStyle w:val="Compact"/>
        <w:numPr>
          <w:ilvl w:val="0"/>
          <w:numId w:val="1008"/>
        </w:numPr>
      </w:pPr>
      <w:r>
        <w:t xml:space="preserve">Emrah Gecili, Anushka Palipana,</w:t>
      </w:r>
      <w:r>
        <w:t xml:space="preserve"> </w:t>
      </w:r>
      <w:r>
        <w:rPr>
          <w:b/>
          <w:bCs/>
        </w:rPr>
        <w:t xml:space="preserve">Cole Brokamp</w:t>
      </w:r>
      <w:r>
        <w:t xml:space="preserve">, Rui Huang, Eleni-Rosalina Andrinopoulou, Teresa Pestian, Erika Rasnick, Ruth H. Keogh, Yizhao Ni, John P. 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235:277-280.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20(5):e69-e71.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16(9):517-523.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10(16):e020992.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4(1):31-37.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19(9):1516-1524.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149(4):e2021052592.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21(1):52.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93(3):283-290.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176(8):759.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19(12):7509.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 Parsons, Carley Riley, Nicole Sofer, Andrew F. Beck, Richard A. Falcone Jr., Meera Kotagal. Children from Disadvantaged Neighborhoods Experience Disproportionate Injury from Interpersonal Violence.</w:t>
      </w:r>
      <w:r>
        <w:t xml:space="preserve"> </w:t>
      </w:r>
      <w:r>
        <w:rPr>
          <w:i/>
          <w:iCs/>
        </w:rPr>
        <w:t xml:space="preserve">Journal of Pediatric Surgery</w:t>
      </w:r>
      <w:r>
        <w:t xml:space="preserve">. 58(3):545-551. 2023.</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150(6):1427-1436.e5.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37(2):239-242.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17(12):e12964.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6(5):e227.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Area-Based Socioeconomic Deprivation Indices: A Scoping Review And Qualitative Analysis.</w:t>
      </w:r>
      <w:r>
        <w:t xml:space="preserve"> </w:t>
      </w:r>
      <w:r>
        <w:rPr>
          <w:i/>
          <w:iCs/>
        </w:rPr>
        <w:t xml:space="preserve">Health Affairs</w:t>
      </w:r>
      <w:r>
        <w:t xml:space="preserve">. 41(12):1804-1811.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2(4):100077.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93:272-300.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58(5):1501-1513.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Monitoring.</w:t>
      </w:r>
      <w:r>
        <w:t xml:space="preserve"> </w:t>
      </w:r>
      <w:r>
        <w:rPr>
          <w:i/>
          <w:iCs/>
        </w:rPr>
        <w:t xml:space="preserve">Journal of Clinical and Translational Science</w:t>
      </w:r>
      <w:r>
        <w:t xml:space="preserve">. 7(1):e76.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251:114172.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22(4):694-701.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Szczesniak.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131(11):117702.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153(4):e2023064432.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71(4):e30892. 2024.</w:t>
      </w:r>
    </w:p>
    <w:p>
      <w:pPr>
        <w:pStyle w:val="Compact"/>
        <w:numPr>
          <w:ilvl w:val="0"/>
          <w:numId w:val="1008"/>
        </w:numPr>
      </w:pPr>
      <w:r>
        <w:t xml:space="preserve">Antonella Zanobetti, Patrick H Ryan, Brent A Coull, Heike Luttmann-Gibson, Soma Datta, Jeffrey Blossom,</w:t>
      </w:r>
      <w:r>
        <w:t xml:space="preserve"> </w:t>
      </w:r>
      <w:r>
        <w:rPr>
          <w:b/>
          <w:bCs/>
        </w:rPr>
        <w:t xml:space="preserve">Cole Brokamp</w:t>
      </w:r>
      <w:r>
        <w:t xml:space="preserve">, Nathan Lothrop, Rachel L Miller, Paloma I Beamer, Cynthia M Visness, Howard Andrews, Leonard B Bacharier, Tina Hartert, Christine C Johnson, Dennis R Ownby, Gurjit K Khurana Hershey, Christine LM Joseph, Eneida A Mendonça,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31(7):1471-1478.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31(1):61-64.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8(1):e94.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210(10):1201-1209.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12(4):2293-2298.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After Non-Small Cell Lung Cancer Resection.</w:t>
      </w:r>
      <w:r>
        <w:t xml:space="preserve"> </w:t>
      </w:r>
      <w:r>
        <w:rPr>
          <w:i/>
          <w:iCs/>
        </w:rPr>
        <w:t xml:space="preserve">Annals of Thoracic Surgery Short Reports</w:t>
      </w:r>
      <w:r>
        <w:t xml:space="preserve">. 2(4):618-623.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During Early Adolescence.</w:t>
      </w:r>
      <w:r>
        <w:t xml:space="preserve"> </w:t>
      </w:r>
      <w:r>
        <w:rPr>
          <w:i/>
          <w:iCs/>
        </w:rPr>
        <w:t xml:space="preserve">Brain Connectivity</w:t>
      </w:r>
      <w:r>
        <w:t xml:space="preserve">. 14(6):307-318.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950:175348.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194(5):1418-1425. 2024.</w:t>
      </w:r>
    </w:p>
    <w:p>
      <w:pPr>
        <w:pStyle w:val="Compact"/>
        <w:numPr>
          <w:ilvl w:val="0"/>
          <w:numId w:val="1008"/>
        </w:numPr>
      </w:pPr>
      <w:r>
        <w:t xml:space="preserve">Emrah Gecili,</w:t>
      </w:r>
      <w:r>
        <w:t xml:space="preserve"> </w:t>
      </w:r>
      <w:r>
        <w:rPr>
          <w:b/>
          <w:bCs/>
        </w:rPr>
        <w:t xml:space="preserve">Cole Brokamp</w:t>
      </w:r>
      <w:r>
        <w:t xml:space="preserve">, Özgür Asar, Eleni-Rosalina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36(1):e2884.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31(4):621-630. 2025.</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53(1):e23176.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44(8-9):e70057. 2025.</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72(7):e31663.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155(6):1720-1726.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16:1588964.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The Journal of Pediatrics</w:t>
      </w:r>
      <w:r>
        <w:t xml:space="preserve">. 284:114662.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9(1):e185.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Health Insurance and Portability Accountability Act-Compliant Geocoding.</w:t>
      </w:r>
      <w:r>
        <w:t xml:space="preserve"> </w:t>
      </w:r>
      <w:r>
        <w:rPr>
          <w:i/>
          <w:iCs/>
        </w:rPr>
        <w:t xml:space="preserve">Journal of Clinical and Translational Science</w:t>
      </w:r>
      <w:r>
        <w:t xml:space="preserve">. 10(1):e17.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29:100414.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With a Situational Awareness and Learning Tool: Focus Group Study.</w:t>
      </w:r>
      <w:r>
        <w:t xml:space="preserve"> </w:t>
      </w:r>
      <w:r>
        <w:rPr>
          <w:i/>
          <w:iCs/>
        </w:rPr>
        <w:t xml:space="preserve">Online Journal of Public Health Informatics</w:t>
      </w:r>
      <w:r>
        <w:t xml:space="preserve">. 18:e77379.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183–192.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10(1):e75.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International Forum of Allergy &amp; Rhinology</w:t>
      </w:r>
      <w:r>
        <w:t xml:space="preserve">. 16(4):422-425.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 of North America</w:t>
      </w:r>
      <w:r>
        <w:t xml:space="preserve">. In Press. 2026.</w:t>
      </w:r>
    </w:p>
    <w:p>
      <w:pPr>
        <w:pStyle w:val="Compact"/>
        <w:numPr>
          <w:ilvl w:val="0"/>
          <w:numId w:val="1008"/>
        </w:numPr>
      </w:pPr>
      <w:r>
        <w:t xml:space="preserve">Kyung Jung, Justin Vargas, Samrie Beshah, Jeffery Burkle, Erika Manning, Sheryl Rifas-Shiman, James Quinn,</w:t>
      </w:r>
      <w:r>
        <w:t xml:space="preserve"> </w:t>
      </w:r>
      <w:r>
        <w:rPr>
          <w:b/>
          <w:bCs/>
        </w:rPr>
        <w:t xml:space="preserve">Cole Brokamp</w:t>
      </w:r>
      <w:r>
        <w:t xml:space="preserve">, Jeanette Stingone, Julie Herbstman, Rachel Miller, Emily Oken, Patrick Ryan, James Gern, Stephanie Lovinsky-Desir. Differences in socio-demographic and environmental exposures at home vs. school in the ECHO cohort.</w:t>
      </w:r>
      <w:r>
        <w:t xml:space="preserve"> </w:t>
      </w:r>
      <w:r>
        <w:rPr>
          <w:i/>
          <w:iCs/>
        </w:rPr>
        <w:t xml:space="preserve">Journal of Exposure Science &amp; Environmental Epidemiology</w:t>
      </w:r>
      <w:r>
        <w:t xml:space="preserve">. In Press. 2026.</w:t>
      </w:r>
    </w:p>
    <w:p>
      <w:pPr>
        <w:pStyle w:val="Compact"/>
        <w:numPr>
          <w:ilvl w:val="0"/>
          <w:numId w:val="1008"/>
        </w:numPr>
      </w:pPr>
      <w:r>
        <w:t xml:space="preserve">Eric Lee, Sanghyun Choo, Dakotah Maguire, Abhishek Shivanna, Daniel Santel, Surbhi Bhatnagar, Ian Goethert, Kelly Patterson, Jay Gholap, Heidi Hanson, Mayanka Chandrashekar, Robert Ammerman, John Pestian, Tracy Glauser,</w:t>
      </w:r>
      <w:r>
        <w:t xml:space="preserve"> </w:t>
      </w:r>
      <w:r>
        <w:rPr>
          <w:b/>
          <w:bCs/>
        </w:rPr>
        <w:t xml:space="preserve">Cole Brokamp</w:t>
      </w:r>
      <w:r>
        <w:t xml:space="preserve">, Jeffrey Strawn, Anuj Kapadia, Greeshma Agasthya. Comparing Machine and Deep Learning Models for Pediatric Anxiety Classification using Structured EHRs and Area-based Measures of Health Data.</w:t>
      </w:r>
      <w:r>
        <w:t xml:space="preserve"> </w:t>
      </w:r>
      <w:r>
        <w:rPr>
          <w:i/>
          <w:iCs/>
        </w:rPr>
        <w:t xml:space="preserve">PLOS ONE</w:t>
      </w:r>
      <w:r>
        <w:t xml:space="preserve">. 21(5):e0324673. 2026.</w:t>
      </w:r>
    </w:p>
    <w:bookmarkEnd w:id="33"/>
    <w:bookmarkStart w:id="34"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4"/>
    <w:bookmarkEnd w:id="35"/>
    <w:bookmarkStart w:id="36"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6"/>
    <w:bookmarkStart w:id="37"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Carson S Hartlage*, Teresa Pestian, Barbara Giambra, Andrew F Beck,</w:t>
      </w:r>
      <w:r>
        <w:t xml:space="preserve"> </w:t>
      </w:r>
      <w:r>
        <w:rPr>
          <w:b/>
          <w:bCs/>
        </w:rPr>
        <w:t xml:space="preserve">Cole Brokamp</w:t>
      </w:r>
      <w:r>
        <w:t xml:space="preserve">. Using Hyperlocal Geospatial Data to Support Pediatric Health Care: A Qualitative Study.</w:t>
      </w:r>
      <w:r>
        <w:t xml:space="preserve"> </w:t>
      </w:r>
      <w:r>
        <w:rPr>
          <w:i/>
          <w:iCs/>
        </w:rPr>
        <w:t xml:space="preserve">American Medical Informatics Association Annual Symposium</w:t>
      </w:r>
      <w:r>
        <w:t xml:space="preserve">. 2026. 2027.</w:t>
      </w:r>
    </w:p>
    <w:bookmarkEnd w:id="37"/>
    <w:bookmarkEnd w:id="38"/>
    <w:bookmarkStart w:id="48" w:name="teaching-and-mentoring"/>
    <w:p>
      <w:pPr>
        <w:pStyle w:val="Heading1"/>
      </w:pPr>
      <w:r>
        <w:t xml:space="preserve">Teaching and Mentoring</w:t>
      </w:r>
    </w:p>
    <w:bookmarkStart w:id="39" w:name="invited-lectures"/>
    <w:p>
      <w:pPr>
        <w:pStyle w:val="Heading2"/>
      </w:pPr>
      <w:r>
        <w:t xml:space="preserve">Invited Lectures</w:t>
      </w:r>
    </w:p>
    <w:p>
      <w:pPr>
        <w:pStyle w:val="FirstParagraph"/>
      </w:pPr>
      <w:r>
        <w:t xml:space="preserve">The Impact of Home Repairs and Services for Low-Income Homeowners on Pediatric Health Outcomes in Cincinnati, OH.</w:t>
      </w:r>
      <w:r>
        <w:t xml:space="preserve"> </w:t>
      </w:r>
      <w:r>
        <w:rPr>
          <w:i/>
          <w:iCs/>
        </w:rPr>
        <w:t xml:space="preserve">Ohio Health Homes Network Annual Meeting</w:t>
      </w:r>
      <w:r>
        <w:t xml:space="preserve">. Columbus, OH. 2026</w:t>
      </w:r>
    </w:p>
    <w:p>
      <w:pPr>
        <w:pStyle w:val="BodyText"/>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39"/>
    <w:bookmarkStart w:id="40"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0"/>
    <w:bookmarkStart w:id="41"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1"/>
    <w:bookmarkStart w:id="47" w:name="mentoring"/>
    <w:p>
      <w:pPr>
        <w:pStyle w:val="Heading2"/>
      </w:pPr>
      <w:r>
        <w:t xml:space="preserve">Mentoring</w:t>
      </w:r>
    </w:p>
    <w:bookmarkStart w:id="42"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2"/>
    <w:bookmarkStart w:id="43"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3"/>
    <w:bookmarkStart w:id="44"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4"/>
    <w:bookmarkStart w:id="45"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5"/>
    <w:bookmarkStart w:id="46" w:name="ktraining-award-mentees"/>
    <w:p>
      <w:pPr>
        <w:pStyle w:val="Heading4"/>
      </w:pPr>
      <w:r>
        <w:t xml:space="preserve">K/Training Award Mentees</w:t>
      </w:r>
    </w:p>
    <w:p>
      <w:pPr>
        <w:pStyle w:val="Compact"/>
        <w:numPr>
          <w:ilvl w:val="0"/>
          <w:numId w:val="1016"/>
        </w:numPr>
      </w:pPr>
      <w:r>
        <w:t xml:space="preserve">Vivek Ashok, UC College of Medicine: Research mentor committee member for K23 application (2026 - present)</w:t>
      </w:r>
    </w:p>
    <w:p>
      <w:pPr>
        <w:pStyle w:val="Compact"/>
        <w:numPr>
          <w:ilvl w:val="0"/>
          <w:numId w:val="1016"/>
        </w:numPr>
      </w:pPr>
      <w:r>
        <w:t xml:space="preserve">Allan Joseph, UC College of Medicine: Research mentor committee member for K application (2025 - 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6"/>
    <w:bookmarkEnd w:id="47"/>
    <w:bookmarkEnd w:id="48"/>
    <w:bookmarkStart w:id="55" w:name="service-and-leadership"/>
    <w:p>
      <w:pPr>
        <w:pStyle w:val="Heading1"/>
      </w:pPr>
      <w:r>
        <w:t xml:space="preserve">Service and Leadership</w:t>
      </w:r>
    </w:p>
    <w:bookmarkStart w:id="53" w:name="service"/>
    <w:p>
      <w:pPr>
        <w:pStyle w:val="Heading2"/>
      </w:pPr>
      <w:r>
        <w:t xml:space="preserve">Service</w:t>
      </w:r>
    </w:p>
    <w:bookmarkStart w:id="49"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49"/>
    <w:bookmarkStart w:id="50"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0"/>
    <w:bookmarkStart w:id="51"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1"/>
    <w:bookmarkStart w:id="52"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2"/>
    <w:bookmarkEnd w:id="53"/>
    <w:bookmarkStart w:id="54"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4"/>
    <w:bookmarkEnd w:id="55"/>
    <w:bookmarkStart w:id="56"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2026-07-01</w:t>
      </w:r>
    </w:p>
    <w:bookmarkEnd w:id="56"/>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orcid.org/0000-0002-0289-3151" TargetMode="External" /></Relationships>
</file>

<file path=word/_rels/footnotes.xml.rels><?xml version="1.0" encoding="UTF-8"?><Relationships xmlns="http://schemas.openxmlformats.org/package/2006/relationships"><Relationship Type="http://schemas.openxmlformats.org/officeDocument/2006/relationships/hyperlink" Id="rId21" Target="https://orcid.org/0000-0002-0289-31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2026-07-01T21:44:24Z</dcterms:created>
  <dcterms:modified xsi:type="dcterms:W3CDTF">2026-07-01T21:44:24Z</dcterms:modified>
</cp:coreProperties>
</file>

<file path=docProps/custom.xml><?xml version="1.0" encoding="utf-8"?>
<Properties xmlns="http://schemas.openxmlformats.org/officeDocument/2006/custom-properties" xmlns:vt="http://schemas.openxmlformats.org/officeDocument/2006/docPropsVTypes"/>
</file>