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p>
      <w:pPr>
        <w:pStyle w:val="Compact"/>
        <w:numPr>
          <w:ilvl w:val="0"/>
          <w:numId w:val="1008"/>
        </w:numPr>
      </w:pPr>
      <w:r>
        <w:t xml:space="preserve">Carson Hartlage, Erika Rasnick Manning,</w:t>
      </w:r>
      <w:r>
        <w:t xml:space="preserve"> </w:t>
      </w:r>
      <w:r>
        <w:rPr>
          <w:b/>
          <w:bCs/>
        </w:rPr>
        <w:t xml:space="preserve">Cole Brokamp</w:t>
      </w:r>
      <w:r>
        <w:t xml:space="preserve">. Evaluating Linkage Approaches for Address-Level Socioenvironmental Exposure Assessment.</w:t>
      </w:r>
      <w:r>
        <w:t xml:space="preserve"> </w:t>
      </w:r>
      <w:r>
        <w:rPr>
          <w:i/>
          <w:iCs/>
        </w:rPr>
        <w:t xml:space="preserve">AMIA Summits on Translational Science Proceedings</w:t>
      </w:r>
      <w:r>
        <w:t xml:space="preserve">. In Press. 2026.</w:t>
      </w:r>
    </w:p>
    <w:p>
      <w:pPr>
        <w:pStyle w:val="Compact"/>
        <w:numPr>
          <w:ilvl w:val="0"/>
          <w:numId w:val="1008"/>
        </w:numPr>
      </w:pPr>
      <w:r>
        <w:t xml:space="preserve">Carson Hartlage, Qing Duan, Erika Rasnick Manning, Judith Dexheimer, Andrew Beck,</w:t>
      </w:r>
      <w:r>
        <w:t xml:space="preserve"> </w:t>
      </w:r>
      <w:r>
        <w:rPr>
          <w:b/>
          <w:bCs/>
        </w:rPr>
        <w:t xml:space="preserve">Cole Brokamp</w:t>
      </w:r>
      <w:r>
        <w:t xml:space="preserve">. Precision risk assessment for pediatric hospitalization using address-level data in Cincinnati, Ohio.</w:t>
      </w:r>
      <w:r>
        <w:t xml:space="preserve"> </w:t>
      </w:r>
      <w:r>
        <w:rPr>
          <w:i/>
          <w:iCs/>
        </w:rPr>
        <w:t xml:space="preserve">Journal of Clinical and Translational Science</w:t>
      </w:r>
      <w:r>
        <w:t xml:space="preserve">. In Press. 2026.</w:t>
      </w:r>
    </w:p>
    <w:p>
      <w:pPr>
        <w:pStyle w:val="Compact"/>
        <w:numPr>
          <w:ilvl w:val="0"/>
          <w:numId w:val="1008"/>
        </w:numPr>
      </w:pPr>
      <w:r>
        <w:t xml:space="preserve">Stefany Lazieh, Jonathan Wang, Mohammed Ullah,</w:t>
      </w:r>
      <w:r>
        <w:t xml:space="preserve"> </w:t>
      </w:r>
      <w:r>
        <w:rPr>
          <w:b/>
          <w:bCs/>
        </w:rPr>
        <w:t xml:space="preserve">Cole Brokamp</w:t>
      </w:r>
      <w:r>
        <w:t xml:space="preserve">, Andrew Lane, Nyall London, Nickolas Rowan, Wojciech Mydlarz, Murugappan Ramanathan. Association Between Chronic Ambient Fine Particulate Matter and Recurrence Risk in Sinonasal Inverted Papilloma.</w:t>
      </w:r>
      <w:r>
        <w:t xml:space="preserve"> </w:t>
      </w:r>
      <w:r>
        <w:rPr>
          <w:i/>
          <w:iCs/>
        </w:rPr>
        <w:t xml:space="preserve">Int Forum Allergy Rhinol</w:t>
      </w:r>
      <w:r>
        <w:t xml:space="preserve">. In Press. 2026.</w:t>
      </w:r>
    </w:p>
    <w:p>
      <w:pPr>
        <w:pStyle w:val="Compact"/>
        <w:numPr>
          <w:ilvl w:val="0"/>
          <w:numId w:val="1008"/>
        </w:numPr>
      </w:pPr>
      <w:r>
        <w:t xml:space="preserve">Abby Nerlinger,</w:t>
      </w:r>
      <w:r>
        <w:t xml:space="preserve"> </w:t>
      </w:r>
      <w:r>
        <w:rPr>
          <w:b/>
          <w:bCs/>
        </w:rPr>
        <w:t xml:space="preserve">Cole Brokamp</w:t>
      </w:r>
      <w:r>
        <w:t xml:space="preserve">, William Swiatek, Alexander Koster, Andrew Beck. Climate Change and Pediatric Population Health Management.</w:t>
      </w:r>
      <w:r>
        <w:t xml:space="preserve"> </w:t>
      </w:r>
      <w:r>
        <w:rPr>
          <w:i/>
          <w:iCs/>
        </w:rPr>
        <w:t xml:space="preserve">Pediatric Clinics</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2025: International Society of Exposure Science Annual Meeting</w:t>
      </w:r>
    </w:p>
    <w:p>
      <w:pPr>
        <w:pStyle w:val="Compact"/>
        <w:numPr>
          <w:ilvl w:val="1"/>
          <w:numId w:val="1022"/>
        </w:numPr>
      </w:pPr>
      <w:r>
        <w:t xml:space="preserve">2018, 2020, 2022, 2026: International Society of Environmental Epidemiology Annual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2026-04-01</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2026-04-01T15:00:45Z</dcterms:created>
  <dcterms:modified xsi:type="dcterms:W3CDTF">2026-04-01T15:00:45Z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