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p>
      <w:pPr>
        <w:numPr>
          <w:ilvl w:val="0"/>
          <w:numId w:val="1006"/>
        </w:numPr>
        <w:pStyle w:val="Compact"/>
      </w:pPr>
      <w:r>
        <w:t xml:space="preserve">Anushka Palipana, Andrew Vancil, Emrah Gecili, Erika Rasnick, Daniel Ehrlich, Teresa Pestian, Eleni-Rosalina Andrinopoulou, Pedro Afonso, Ruth Keogh, Yizhao Ni, Judith Dexheimer, John Clancy, Patrick Ryan,</w:t>
      </w:r>
      <w:r>
        <w:t xml:space="preserve"> </w:t>
      </w:r>
      <w:r>
        <w:rPr>
          <w:bCs/>
          <w:b/>
        </w:rPr>
        <w:t xml:space="preserve">Cole Brokamp</w:t>
      </w:r>
      <w:r>
        <w:t xml:space="preserve">, Rhonda Sczcesniak. Social-environmental phenotypes of rapid cystic fibrosis lung disease progression in adolescents and young adults living in the United States.</w:t>
      </w:r>
      <w:r>
        <w:t xml:space="preserve"> </w:t>
      </w:r>
      <w:r>
        <w:rPr>
          <w:iCs/>
          <w:i/>
        </w:rPr>
        <w:t xml:space="preserve">Environmental Advances</w:t>
      </w:r>
      <w:r>
        <w:t xml:space="preserve">. 14:100449. 2023.</w:t>
      </w:r>
    </w:p>
    <w:p>
      <w:pPr>
        <w:numPr>
          <w:ilvl w:val="0"/>
          <w:numId w:val="1006"/>
        </w:numPr>
        <w:pStyle w:val="Compact"/>
      </w:pPr>
      <w:r>
        <w:t xml:space="preserve">Patrick Ryan, Chris Wolfe, Allison Parsons,</w:t>
      </w:r>
      <w:r>
        <w:t xml:space="preserve"> </w:t>
      </w:r>
      <w:r>
        <w:rPr>
          <w:bCs/>
          <w:b/>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Cs/>
          <w:i/>
        </w:rPr>
        <w:t xml:space="preserve">Environmental Health Perspectives</w:t>
      </w:r>
      <w:r>
        <w:t xml:space="preserve">. 131:11. 2023.</w:t>
      </w:r>
    </w:p>
    <w:p>
      <w:pPr>
        <w:numPr>
          <w:ilvl w:val="0"/>
          <w:numId w:val="1006"/>
        </w:numPr>
        <w:pStyle w:val="Compact"/>
      </w:pPr>
      <w:r>
        <w:rPr>
          <w:bCs/>
          <w:b/>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Cs/>
          <w:i/>
        </w:rPr>
        <w:t xml:space="preserve">Pediatrics</w:t>
      </w:r>
      <w:r>
        <w:t xml:space="preserve">. In Press. 2024.</w:t>
      </w:r>
    </w:p>
    <w:p>
      <w:pPr>
        <w:numPr>
          <w:ilvl w:val="0"/>
          <w:numId w:val="1006"/>
        </w:numPr>
        <w:pStyle w:val="Compact"/>
      </w:pPr>
      <w:r>
        <w:t xml:space="preserve">Kimberly L Klages, Laura E Schwartz, Endia J Santee Crabtree,</w:t>
      </w:r>
      <w:r>
        <w:t xml:space="preserve"> </w:t>
      </w:r>
      <w:r>
        <w:rPr>
          <w:bCs/>
          <w:b/>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Cs/>
          <w:i/>
        </w:rPr>
        <w:t xml:space="preserve">Pediatric Blood &amp; Cancer</w:t>
      </w:r>
      <w:r>
        <w:t xml:space="preserve">. In Press. 2024.</w:t>
      </w:r>
    </w:p>
    <w:p>
      <w:pPr>
        <w:numPr>
          <w:ilvl w:val="0"/>
          <w:numId w:val="1006"/>
        </w:numPr>
        <w:pStyle w:val="Compact"/>
      </w:pPr>
      <w:r>
        <w:t xml:space="preserve">Antonella Zanobetti, Patrick H Ryan, Brent A Coull, Heike Luttmann-Gibson, Soma Datta, Jeffrey Blosson,</w:t>
      </w:r>
      <w:r>
        <w:t xml:space="preserve"> </w:t>
      </w:r>
      <w:r>
        <w:rPr>
          <w:bCs/>
          <w:b/>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Cs/>
          <w:i/>
        </w:rPr>
        <w:t xml:space="preserve">JAMA Network Open</w:t>
      </w:r>
      <w:r>
        <w:t xml:space="preserve">. 7(2):e240535.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p>
      <w:pPr>
        <w:numPr>
          <w:ilvl w:val="0"/>
          <w:numId w:val="1009"/>
        </w:numPr>
        <w:pStyle w:val="Compact"/>
      </w:pPr>
      <w:r>
        <w:rPr>
          <w:bCs/>
          <w:b/>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Cs/>
          <w:i/>
        </w:rPr>
        <w:t xml:space="preserve">Pediatric Academic Societies Annual Meeting</w:t>
      </w:r>
      <w:r>
        <w:t xml:space="preserve">. Toronto, Canada. 2024.</w:t>
      </w:r>
    </w:p>
    <w:p>
      <w:pPr>
        <w:numPr>
          <w:ilvl w:val="0"/>
          <w:numId w:val="1009"/>
        </w:numPr>
        <w:pStyle w:val="Compact"/>
      </w:pPr>
      <w:r>
        <w:t xml:space="preserve">Erika Rasnick Manning, Qing Duan, Stuart Taylor, Joseph Michael, Ryan Gillette, Ndidi Unaka, David Hartley, Andrew F. Beck,</w:t>
      </w:r>
      <w:r>
        <w:t xml:space="preserve"> </w:t>
      </w:r>
      <w:r>
        <w:rPr>
          <w:bCs/>
          <w:b/>
        </w:rPr>
        <w:t xml:space="preserve">Cole Brokamp</w:t>
      </w:r>
      <w:r>
        <w:t xml:space="preserve">*. A Multi-Modal Geomarker Pipeline for Assessing the Impact of Social, Economic, and Environmental Factors on Pediatric Hospitalization.</w:t>
      </w:r>
      <w:r>
        <w:t xml:space="preserve"> </w:t>
      </w:r>
      <w:r>
        <w:rPr>
          <w:iCs/>
          <w:i/>
        </w:rPr>
        <w:t xml:space="preserve">American Medical Informatics Association Summit</w:t>
      </w:r>
      <w:r>
        <w:t xml:space="preserve">. Boston, MA. 2024.</w:t>
      </w:r>
    </w:p>
    <w:p>
      <w:pPr>
        <w:numPr>
          <w:ilvl w:val="0"/>
          <w:numId w:val="1009"/>
        </w:numPr>
        <w:pStyle w:val="Compact"/>
      </w:pPr>
      <w:r>
        <w:t xml:space="preserve">Stephen Colegate*,</w:t>
      </w:r>
      <w:r>
        <w:t xml:space="preserve"> </w:t>
      </w:r>
      <w:r>
        <w:rPr>
          <w:bCs/>
          <w:b/>
        </w:rPr>
        <w:t xml:space="preserve">Cole Brokamp</w:t>
      </w:r>
      <w:r>
        <w:t xml:space="preserve">. Fairness in Precision Environmental Health.</w:t>
      </w:r>
      <w:r>
        <w:t xml:space="preserve"> </w:t>
      </w:r>
      <w:r>
        <w:rPr>
          <w:iCs/>
          <w:i/>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Pediatric Academic Societies Annual Meeting</w:t>
      </w:r>
      <w:r>
        <w:t xml:space="preserve">. Denver, CO.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2024-02-27</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2024-02-27T13:27:34Z</dcterms:created>
  <dcterms:modified xsi:type="dcterms:W3CDTF">2024-02-27T13:27:34Z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