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p>
      <w:pPr>
        <w:numPr>
          <w:ilvl w:val="0"/>
          <w:numId w:val="1006"/>
        </w:numPr>
        <w:pStyle w:val="Compact"/>
      </w:pPr>
      <w:r>
        <w:rPr>
          <w:bCs/>
          <w:b/>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Cs/>
          <w:i/>
        </w:rPr>
        <w:t xml:space="preserve">Pediatrics</w:t>
      </w:r>
      <w:r>
        <w:t xml:space="preserve">. In Press. 2024.</w:t>
      </w:r>
    </w:p>
    <w:p>
      <w:pPr>
        <w:numPr>
          <w:ilvl w:val="0"/>
          <w:numId w:val="1006"/>
        </w:numPr>
        <w:pStyle w:val="Compact"/>
      </w:pPr>
      <w:r>
        <w:t xml:space="preserve">Kimberly L Klages, Laura E Schwartz, Endia J Santee Crabtree,</w:t>
      </w:r>
      <w:r>
        <w:t xml:space="preserve"> </w:t>
      </w:r>
      <w:r>
        <w:rPr>
          <w:bCs/>
          <w:b/>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Cs/>
          <w:i/>
        </w:rPr>
        <w:t xml:space="preserve">Pediatric Blood &amp; Cancer</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p>
      <w:pPr>
        <w:numPr>
          <w:ilvl w:val="0"/>
          <w:numId w:val="1009"/>
        </w:numPr>
        <w:pStyle w:val="Compact"/>
      </w:pPr>
      <w:r>
        <w:t xml:space="preserve">Stephen Colegate*,</w:t>
      </w:r>
      <w:r>
        <w:t xml:space="preserve"> </w:t>
      </w:r>
      <w:r>
        <w:rPr>
          <w:bCs/>
          <w:b/>
        </w:rPr>
        <w:t xml:space="preserve">Cole Brokamp</w:t>
      </w:r>
      <w:r>
        <w:t xml:space="preserve">. Fairness in Precision Environmental Health.</w:t>
      </w:r>
      <w:r>
        <w:t xml:space="preserve"> </w:t>
      </w:r>
      <w:r>
        <w:rPr>
          <w:iCs/>
          <w:i/>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Pediatric Academic Societies Annual Meeting</w:t>
      </w:r>
      <w:r>
        <w:t xml:space="preserve">. Denver, CO.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2024-02-06</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2024-02-06T20:57:25Z</dcterms:created>
  <dcterms:modified xsi:type="dcterms:W3CDTF">2024-02-06T20:57:25Z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