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2"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 0000-0002-0289-3151</w:t>
      </w:r>
    </w:p>
    <w:bookmarkEnd w:id="22"/>
    <w:bookmarkStart w:id="25" w:name="education"/>
    <w:p>
      <w:pPr>
        <w:pStyle w:val="Heading1"/>
      </w:pPr>
      <w:r>
        <w:t xml:space="preserve">Education</w:t>
      </w:r>
    </w:p>
    <w:bookmarkStart w:id="23"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3"/>
    <w:bookmarkStart w:id="24"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4"/>
    <w:bookmarkEnd w:id="25"/>
    <w:bookmarkStart w:id="26"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6"/>
    <w:bookmarkStart w:id="27"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7"/>
    <w:bookmarkStart w:id="28"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8"/>
    <w:bookmarkStart w:id="38" w:name="research-and-scholarly-activities"/>
    <w:p>
      <w:pPr>
        <w:pStyle w:val="Heading1"/>
      </w:pPr>
      <w:r>
        <w:t xml:space="preserve">Research and Scholarly Activities</w:t>
      </w:r>
    </w:p>
    <w:bookmarkStart w:id="29"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29"/>
    <w:bookmarkStart w:id="32" w:name="grants-and-contracts"/>
    <w:p>
      <w:pPr>
        <w:pStyle w:val="Heading2"/>
      </w:pPr>
      <w:r>
        <w:t xml:space="preserve">Grants and Contracts</w:t>
      </w:r>
    </w:p>
    <w:bookmarkStart w:id="30" w:name="current"/>
    <w:p>
      <w:pPr>
        <w:pStyle w:val="Heading3"/>
      </w:pPr>
      <w:r>
        <w:t xml:space="preserve">Current</w:t>
      </w:r>
    </w:p>
    <w:bookmarkEnd w:id="30"/>
    <w:bookmarkStart w:id="31" w:name="selected-previous-brokamp-pi"/>
    <w:p>
      <w:pPr>
        <w:pStyle w:val="Heading3"/>
      </w:pPr>
      <w:r>
        <w:t xml:space="preserve">Selected Previous (Brokamp, PI)</w:t>
      </w:r>
    </w:p>
    <w:bookmarkEnd w:id="31"/>
    <w:bookmarkEnd w:id="32"/>
    <w:bookmarkStart w:id="35" w:name="publications"/>
    <w:p>
      <w:pPr>
        <w:pStyle w:val="Heading2"/>
      </w:pPr>
      <w:r>
        <w:t xml:space="preserve">Publications</w:t>
      </w:r>
    </w:p>
    <w:bookmarkStart w:id="33" w:name="peer-reviewed-articles"/>
    <w:p>
      <w:pPr>
        <w:pStyle w:val="Heading3"/>
      </w:pPr>
      <w:r>
        <w:t xml:space="preserve">Peer reviewed articles</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t xml:space="preserve">.</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3"/>
    <w:bookmarkStart w:id="34"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4"/>
    <w:bookmarkEnd w:id="35"/>
    <w:bookmarkStart w:id="36"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6"/>
    <w:bookmarkStart w:id="37" w:name="Xf2fe1e3ca22eef2365ae246688d3d4002b8dc04"/>
    <w:p>
      <w:pPr>
        <w:pStyle w:val="Heading2"/>
      </w:pPr>
      <w:r>
        <w:t xml:space="preserve">Selected Abstracts (First or Senior Author)</w:t>
      </w:r>
    </w:p>
    <w:bookmarkEnd w:id="37"/>
    <w:bookmarkEnd w:id="38"/>
    <w:bookmarkStart w:id="48" w:name="teaching-and-mentoring"/>
    <w:p>
      <w:pPr>
        <w:pStyle w:val="Heading1"/>
      </w:pPr>
      <w:r>
        <w:t xml:space="preserve">Teaching and Mentoring</w:t>
      </w:r>
    </w:p>
    <w:bookmarkStart w:id="39" w:name="invited-lectures"/>
    <w:p>
      <w:pPr>
        <w:pStyle w:val="Heading2"/>
      </w:pPr>
      <w:r>
        <w:t xml:space="preserve">Invited Lectures</w:t>
      </w:r>
    </w:p>
    <w:bookmarkEnd w:id="39"/>
    <w:bookmarkStart w:id="40" w:name="seminars"/>
    <w:p>
      <w:pPr>
        <w:pStyle w:val="Heading2"/>
      </w:pPr>
      <w:r>
        <w:t xml:space="preserve">Seminars</w:t>
      </w:r>
    </w:p>
    <w:bookmarkEnd w:id="40"/>
    <w:bookmarkStart w:id="41" w:name="teaching"/>
    <w:p>
      <w:pPr>
        <w:pStyle w:val="Heading2"/>
      </w:pPr>
      <w:r>
        <w:t xml:space="preserve">Teaching</w:t>
      </w:r>
    </w:p>
    <w:bookmarkEnd w:id="41"/>
    <w:bookmarkStart w:id="47" w:name="mentoring"/>
    <w:p>
      <w:pPr>
        <w:pStyle w:val="Heading2"/>
      </w:pPr>
      <w:r>
        <w:t xml:space="preserve">Mentoring</w:t>
      </w:r>
    </w:p>
    <w:bookmarkStart w:id="42"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2"/>
    <w:bookmarkStart w:id="43"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3"/>
    <w:bookmarkStart w:id="44"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4"/>
    <w:bookmarkStart w:id="45"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5"/>
    <w:bookmarkStart w:id="46"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6"/>
    <w:bookmarkEnd w:id="47"/>
    <w:bookmarkEnd w:id="48"/>
    <w:bookmarkStart w:id="53" w:name="service-and-leadership"/>
    <w:p>
      <w:pPr>
        <w:pStyle w:val="Heading1"/>
      </w:pPr>
      <w:r>
        <w:t xml:space="preserve">Service and Leadership</w:t>
      </w:r>
    </w:p>
    <w:bookmarkStart w:id="51" w:name="service"/>
    <w:p>
      <w:pPr>
        <w:pStyle w:val="Heading2"/>
      </w:pPr>
      <w:r>
        <w:t xml:space="preserve">Service</w:t>
      </w:r>
    </w:p>
    <w:bookmarkStart w:id="49"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49"/>
    <w:bookmarkStart w:id="50"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0"/>
    <w:bookmarkEnd w:id="51"/>
    <w:bookmarkStart w:id="52"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2"/>
    <w:bookmarkEnd w:id="53"/>
    <w:bookmarkStart w:id="54"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2023-03-19</w:t>
      </w:r>
    </w:p>
    <w:bookmarkEnd w:id="54"/>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2023-03-20T02:42:58Z</dcterms:created>
  <dcterms:modified xsi:type="dcterms:W3CDTF">2023-03-20T02:42:58Z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