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0"/>
          <w:numId w:val="1020"/>
        </w:numPr>
      </w:pPr>
      <w:r>
        <w:t xml:space="preserve">Abstract Reviewer:</w:t>
      </w:r>
    </w:p>
    <w:p>
      <w:pPr>
        <w:pStyle w:val="Compact"/>
        <w:numPr>
          <w:ilvl w:val="1"/>
          <w:numId w:val="1022"/>
        </w:numPr>
      </w:pPr>
      <w:r>
        <w:t xml:space="preserve">2018, 2019, 2022: International Societies of Exposure Science</w:t>
      </w:r>
    </w:p>
    <w:p>
      <w:pPr>
        <w:pStyle w:val="Compact"/>
        <w:numPr>
          <w:ilvl w:val="1"/>
          <w:numId w:val="1022"/>
        </w:numPr>
      </w:pPr>
      <w:r>
        <w:t xml:space="preserve">2018, 2020, 2022: International Society of Environmental Epidemiology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2026-02-03</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2026-02-03T19:13:29Z</dcterms:created>
  <dcterms:modified xsi:type="dcterms:W3CDTF">2026-02-03T19:13:29Z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