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맑은 고딕" w:hAnsi="맑은 고딕" w:eastAsia="맑은 고딕"/>
          <w:b/>
          <w:color w:val="08706D"/>
          <w:sz w:val="52"/>
        </w:rPr>
        <w:t>물살림 AI</w:t>
      </w:r>
    </w:p>
    <w:p>
      <w:r>
        <w:rPr>
          <w:rFonts w:ascii="맑은 고딕" w:hAnsi="맑은 고딕" w:eastAsia="맑은 고딕"/>
          <w:b/>
          <w:sz w:val="32"/>
        </w:rPr>
        <w:t>절수 전환 의사결정 서비스</w:t>
      </w:r>
    </w:p>
    <w:p>
      <w:r>
        <w:rPr>
          <w:rFonts w:ascii="맑은 고딕" w:hAnsi="맑은 고딕" w:eastAsia="맑은 고딕"/>
          <w:b w:val="0"/>
          <w:color w:val="59706B"/>
          <w:sz w:val="20"/>
        </w:rPr>
        <w:t>제3회 KRC AI 디지털 혁신 공모전 · 서비스개발 분야 제출 원고</w:t>
      </w:r>
    </w:p>
    <w:p>
      <w:pPr>
        <w:pStyle w:val="Heading1"/>
      </w:pPr>
      <w:r>
        <w:rPr>
          <w:rFonts w:ascii="맑은 고딕" w:hAnsi="맑은 고딕" w:eastAsia="맑은 고딕"/>
          <w:b w:val="0"/>
        </w:rPr>
        <w:t>1. 서비스 한 줄 정의</w:t>
      </w:r>
    </w:p>
    <w:p>
      <w:r>
        <w:rPr>
          <w:rFonts w:ascii="맑은 고딕" w:hAnsi="맑은 고딕" w:eastAsia="맑은 고딕"/>
          <w:b w:val="0"/>
        </w:rPr>
        <w:t>물살림 AI는 KRC 저수지 수위 원자료를 바탕으로 누가, 언제, 어떤 근거로 절수 협의를 시작해야 하는지를 설명하고, 절수 선택의 전환 지연 효과를 지역 구성원이 함께 검토·공유하게 하는 실행형 의사결정 서비스다.</w:t>
      </w:r>
    </w:p>
    <w:p>
      <w:pPr>
        <w:pStyle w:val="Heading1"/>
      </w:pPr>
      <w:r>
        <w:rPr>
          <w:rFonts w:ascii="맑은 고딕" w:hAnsi="맑은 고딕" w:eastAsia="맑은 고딕"/>
          <w:b w:val="0"/>
        </w:rPr>
        <w:t>2. 문제와 차별성</w:t>
      </w:r>
    </w:p>
    <w:p>
      <w:r>
        <w:rPr>
          <w:rFonts w:ascii="맑은 고딕" w:hAnsi="맑은 고딕" w:eastAsia="맑은 고딕"/>
          <w:b w:val="0"/>
        </w:rPr>
        <w:t>ADMS 농업가뭄관리시스템은 이미 저수율 현황·지도·공식 예경보·저수율 전망을 제공한다. 물살림 AI는 이를 대체하지 않는다. 대신 “정보가 있는데도 절수 협의는 왜 늦어지는가”라는 실행 공백을 해결한다. 사용자는 이번 주 협의 필요성, 관심·주의선 도달 추정, 10%·20% 절수에 따른 지연 효과, 같은 시·군의 우선 협의 대상을 한 화면에서 확인한다.</w:t>
      </w:r>
    </w:p>
    <w:p>
      <w:pPr>
        <w:pStyle w:val="Heading1"/>
      </w:pPr>
      <w:r>
        <w:rPr>
          <w:rFonts w:ascii="맑은 고딕" w:hAnsi="맑은 고딕" w:eastAsia="맑은 고딕"/>
          <w:b w:val="0"/>
        </w:rPr>
        <w:t>3. 실제 구현 기능</w:t>
      </w:r>
    </w:p>
    <w:p>
      <w:r>
        <w:rPr>
          <w:rFonts w:ascii="맑은 고딕" w:hAnsi="맑은 고딕" w:eastAsia="맑은 고딕"/>
          <w:b w:val="0"/>
        </w:rPr>
        <w:t>① 시·도→시·군·구→저수지 선택: KRC reservoircode로 후보를 찾고 시설 코드는 화면에 노출하지 않는다.</w:t>
      </w:r>
    </w:p>
    <w:p>
      <w:r>
        <w:rPr>
          <w:rFonts w:ascii="맑은 고딕" w:hAnsi="맑은 고딕" w:eastAsia="맑은 고딕"/>
          <w:b w:val="0"/>
        </w:rPr>
        <w:t>② KRC 원자료 분석: reservoirlevel의 관측일·수위·저수율을 30·60·90일 축·점 도구 설명·경계선과 함께 표시한다.</w:t>
      </w:r>
    </w:p>
    <w:p>
      <w:r>
        <w:rPr>
          <w:rFonts w:ascii="맑은 고딕" w:hAnsi="맑은 고딕" w:eastAsia="맑은 고딕"/>
          <w:b w:val="0"/>
        </w:rPr>
        <w:t>③ AI 전환 신호: 저수율, 최근 7일 하락, 과거 변동성 대비 이상도, 관측 누락을 합산해 협의 필요성을 0~100으로 설명한다.</w:t>
      </w:r>
    </w:p>
    <w:p>
      <w:r>
        <w:rPr>
          <w:rFonts w:ascii="맑은 고딕" w:hAnsi="맑은 고딕" w:eastAsia="맑은 고딕"/>
          <w:b w:val="0"/>
        </w:rPr>
        <w:t>④ 절수 선택: 최근 강건 추세가 유지된다는 탐색 가정 아래 0·10·20% 절수의 주의선 도달 시점을 비교한다.</w:t>
      </w:r>
    </w:p>
    <w:p>
      <w:r>
        <w:rPr>
          <w:rFonts w:ascii="맑은 고딕" w:hAnsi="맑은 고딕" w:eastAsia="맑은 고딕"/>
          <w:b w:val="0"/>
        </w:rPr>
        <w:t>⑤ 실행: 동일 시·군 우선순위, 관심 저수지 저장, 공유용 TXT 브리핑을 제공한다.</w:t>
      </w:r>
    </w:p>
    <w:p>
      <w:pPr>
        <w:pStyle w:val="Heading1"/>
      </w:pPr>
      <w:r>
        <w:rPr>
          <w:rFonts w:ascii="맑은 고딕" w:hAnsi="맑은 고딕" w:eastAsia="맑은 고딕"/>
          <w:b w:val="0"/>
        </w:rPr>
        <w:t>4. 설명 가능한 AI와 검증</w:t>
      </w:r>
    </w:p>
    <w:p>
      <w:r>
        <w:rPr>
          <w:rFonts w:ascii="맑은 고딕" w:hAnsi="맑은 고딕" w:eastAsia="맑은 고딕"/>
          <w:b w:val="0"/>
        </w:rPr>
        <w:t>전환 신호는 최근 관측점의 쌍별 기울기 중앙값(Theil–Sen 방식)으로 하락 추세를 구하고, 과거 일별 변화의 중앙값·MAD(중앙절대편차)와 비교해 이상도를 계산한다. 관측 누락이 있으면 신뢰도를 낮춘다. 이는 공식 경보·확정 예측이 아니라 현장 협의 시작을 돕는 탐지 지표다.</w:t>
      </w:r>
    </w:p>
    <w:p>
      <w:r>
        <w:rPr>
          <w:rFonts w:ascii="맑은 고딕" w:hAnsi="맑은 고딕" w:eastAsia="맑은 고딕"/>
          <w:b w:val="0"/>
        </w:rPr>
      </w:r>
    </w:p>
    <w:p>
      <w:r>
        <w:rPr>
          <w:rFonts w:ascii="맑은 고딕" w:hAnsi="맑은 고딕" w:eastAsia="맑은 고딕"/>
          <w:b w:val="0"/>
        </w:rPr>
        <w:t>탑정저수지 365일 데이터의 7일 예측에서 전일값 유지 기준모델은 MAE 9.817%p, MAPE 18.913%였고 Gradient Boosting 후보는 MAE 18.633%p, MAPE 41.386%였다. 후보가 기준보다 낮아 배포하지 않았다. 강수량·가뭄 단계·유효저수량·수혜면적·작물 수요를 결합한 다변량 후보가 동일 검증을 통과할 때만 예측 기능을 켠다.</w:t>
      </w:r>
    </w:p>
    <w:p>
      <w:pPr>
        <w:pStyle w:val="Heading1"/>
      </w:pPr>
      <w:r>
        <w:rPr>
          <w:rFonts w:ascii="맑은 고딕" w:hAnsi="맑은 고딕" w:eastAsia="맑은 고딕"/>
          <w:b w:val="0"/>
        </w:rPr>
        <w:t>5. 공익성·사업성</w:t>
      </w:r>
    </w:p>
    <w:p>
      <w:r>
        <w:rPr>
          <w:rFonts w:ascii="맑은 고딕" w:hAnsi="맑은 고딕" w:eastAsia="맑은 고딕"/>
          <w:b w:val="0"/>
        </w:rPr>
        <w:t>초기에는 KRC 지사 또는 지자체 1곳, KRC 관리 저수지 5~10곳, 농업인 대표 그룹을 대상으로 8주 파일럿을 운영한다. 위험 신호부터 첫 협의까지 걸린 시간, 상위 우선순위와 담당자 판단의 일치율, 시나리오 열람 뒤 협의·점검 기록 비율, 판단 이해도 설문을 KPI로 측정한다. 이후 지역 맞춤 브리핑·알림·현장 점검 이력 기능으로 확장한다.</w:t>
      </w:r>
    </w:p>
    <w:p>
      <w:pPr>
        <w:pStyle w:val="Heading1"/>
      </w:pPr>
      <w:r>
        <w:rPr>
          <w:rFonts w:ascii="맑은 고딕" w:hAnsi="맑은 고딕" w:eastAsia="맑은 고딕"/>
          <w:b w:val="0"/>
        </w:rPr>
        <w:t>6. 신뢰·안전 원칙</w:t>
      </w:r>
    </w:p>
    <w:p>
      <w:r>
        <w:rPr>
          <w:rFonts w:ascii="맑은 고딕" w:hAnsi="맑은 고딕" w:eastAsia="맑은 고딕"/>
          <w:b w:val="0"/>
        </w:rPr>
        <w:t>인증키는 브라우저·URL·문서에 넣지 않고 서버 환경변수에만 보관한다. API 오류·빈 응답을 그럴듯한 예시값으로 대체하지 않는다. 저수율·시나리오·전환 신호는 ADMS 공식 예경보, 현장 수요, 강수·유입량, 수리시설 상태를 대체하지 않으며 모든 화면과 브리핑에 이 한계를 표시한다.</w:t>
      </w:r>
    </w:p>
    <w:p>
      <w:pPr>
        <w:pStyle w:val="Heading1"/>
      </w:pPr>
      <w:r>
        <w:rPr>
          <w:rFonts w:ascii="맑은 고딕" w:hAnsi="맑은 고딕" w:eastAsia="맑은 고딕"/>
          <w:b w:val="0"/>
        </w:rPr>
        <w:t>7. 시연 순서</w:t>
      </w:r>
    </w:p>
    <w:p>
      <w:r>
        <w:rPr>
          <w:rFonts w:ascii="맑은 고딕" w:hAnsi="맑은 고딕" w:eastAsia="맑은 고딕"/>
          <w:b w:val="0"/>
        </w:rPr>
        <w:t>1) 랜딩에서 “ADMS가 정보와 전망을 제공한다면, 협의는 누가 언제 시작할까?”를 제시한다.</w:t>
      </w:r>
    </w:p>
    <w:p>
      <w:r>
        <w:rPr>
          <w:rFonts w:ascii="맑은 고딕" w:hAnsi="맑은 고딕" w:eastAsia="맑은 고딕"/>
          <w:b w:val="0"/>
        </w:rPr>
        <w:t>2) 지역·저수지를 선택해 KRC 원자료와 신뢰 상태를 보여 준다.</w:t>
      </w:r>
    </w:p>
    <w:p>
      <w:r>
        <w:rPr>
          <w:rFonts w:ascii="맑은 고딕" w:hAnsi="맑은 고딕" w:eastAsia="맑은 고딕"/>
          <w:b w:val="0"/>
        </w:rPr>
        <w:t>3) AI 전환 신호와 근거 카드로 이번 주 판단을 설명한다.</w:t>
      </w:r>
    </w:p>
    <w:p>
      <w:r>
        <w:rPr>
          <w:rFonts w:ascii="맑은 고딕" w:hAnsi="맑은 고딕" w:eastAsia="맑은 고딕"/>
          <w:b w:val="0"/>
        </w:rPr>
        <w:t>4) 관심·주의선 도달 추정과 10%·20% 절수 지연 효과를 비교한다.</w:t>
      </w:r>
    </w:p>
    <w:p>
      <w:r>
        <w:rPr>
          <w:rFonts w:ascii="맑은 고딕" w:hAnsi="맑은 고딕" w:eastAsia="맑은 고딕"/>
          <w:b w:val="0"/>
        </w:rPr>
        <w:t>5) 동일 지역 우선순위와 TXT 브리핑으로 행동까지 연결한다.</w:t>
      </w:r>
    </w:p>
    <w:p>
      <w:r>
        <w:rPr>
          <w:rFonts w:ascii="맑은 고딕" w:hAnsi="맑은 고딕" w:eastAsia="맑은 고딕"/>
          <w:b w:val="0"/>
        </w:rPr>
        <w:t>6) 성능 미달 예측 후보를 배포하지 않은 거버넌스로 책임 있는 AI를 마무리한다.</w:t>
      </w:r>
    </w:p>
    <w:p>
      <w:pPr>
        <w:pStyle w:val="Heading1"/>
      </w:pPr>
      <w:r>
        <w:rPr>
          <w:rFonts w:ascii="맑은 고딕" w:hAnsi="맑은 고딕" w:eastAsia="맑은 고딕"/>
          <w:b w:val="0"/>
        </w:rPr>
        <w:t>8. 심사 기준 대응</w:t>
      </w:r>
    </w:p>
    <w:tbl>
      <w:tblPr>
        <w:tblStyle w:val="TableGrid"/>
        <w:tblW w:type="auto" w:w="0"/>
        <w:tblLook w:firstColumn="1" w:firstRow="1" w:lastColumn="0" w:lastRow="0" w:noHBand="0" w:noVBand="1" w:val="04A0"/>
      </w:tblPr>
      <w:tblGrid>
        <w:gridCol w:w="4986"/>
        <w:gridCol w:w="4986"/>
      </w:tblGrid>
      <w:tr>
        <w:tc>
          <w:tcPr>
            <w:tcW w:type="dxa" w:w="4986"/>
          </w:tcPr>
          <w:p>
            <w:r>
              <w:rPr>
                <w:rFonts w:ascii="맑은 고딕" w:hAnsi="맑은 고딕" w:eastAsia="맑은 고딕"/>
                <w:b/>
              </w:rPr>
              <w:t>평가 항목</w:t>
            </w:r>
          </w:p>
        </w:tc>
        <w:tc>
          <w:tcPr>
            <w:tcW w:type="dxa" w:w="4986"/>
          </w:tcPr>
          <w:p>
            <w:r>
              <w:rPr>
                <w:rFonts w:ascii="맑은 고딕" w:hAnsi="맑은 고딕" w:eastAsia="맑은 고딕"/>
                <w:b/>
              </w:rPr>
              <w:t>대상권 근거</w:t>
            </w:r>
          </w:p>
        </w:tc>
      </w:tr>
      <w:tr>
        <w:tc>
          <w:tcPr>
            <w:tcW w:type="dxa" w:w="4986"/>
          </w:tcPr>
          <w:p>
            <w:r>
              <w:rPr>
                <w:rFonts w:ascii="맑은 고딕" w:hAnsi="맑은 고딕" w:eastAsia="맑은 고딕"/>
              </w:rPr>
              <w:t>활용성 30</w:t>
            </w:r>
          </w:p>
        </w:tc>
        <w:tc>
          <w:tcPr>
            <w:tcW w:type="dxa" w:w="4986"/>
          </w:tcPr>
          <w:p>
            <w:r>
              <w:rPr>
                <w:rFonts w:ascii="맑은 고딕" w:hAnsi="맑은 고딕" w:eastAsia="맑은 고딕"/>
              </w:rPr>
              <w:t>KRC 원자료를 탐색부터 전환 판단·시나리오·공유까지 전 흐름에 사용</w:t>
            </w:r>
          </w:p>
        </w:tc>
      </w:tr>
      <w:tr>
        <w:tc>
          <w:tcPr>
            <w:tcW w:type="dxa" w:w="4986"/>
          </w:tcPr>
          <w:p>
            <w:r>
              <w:rPr>
                <w:rFonts w:ascii="맑은 고딕" w:hAnsi="맑은 고딕" w:eastAsia="맑은 고딕"/>
              </w:rPr>
              <w:t>창의성 20</w:t>
            </w:r>
          </w:p>
        </w:tc>
        <w:tc>
          <w:tcPr>
            <w:tcW w:type="dxa" w:w="4986"/>
          </w:tcPr>
          <w:p>
            <w:r>
              <w:rPr>
                <w:rFonts w:ascii="맑은 고딕" w:hAnsi="맑은 고딕" w:eastAsia="맑은 고딕"/>
              </w:rPr>
              <w:t>조회·전망의 중복이 아닌 절수 협의 시작 시점이라는 실행 공백 해결</w:t>
            </w:r>
          </w:p>
        </w:tc>
      </w:tr>
      <w:tr>
        <w:tc>
          <w:tcPr>
            <w:tcW w:type="dxa" w:w="4986"/>
          </w:tcPr>
          <w:p>
            <w:r>
              <w:rPr>
                <w:rFonts w:ascii="맑은 고딕" w:hAnsi="맑은 고딕" w:eastAsia="맑은 고딕"/>
              </w:rPr>
              <w:t>사업성 20</w:t>
            </w:r>
          </w:p>
        </w:tc>
        <w:tc>
          <w:tcPr>
            <w:tcW w:type="dxa" w:w="4986"/>
          </w:tcPr>
          <w:p>
            <w:r>
              <w:rPr>
                <w:rFonts w:ascii="맑은 고딕" w:hAnsi="맑은 고딕" w:eastAsia="맑은 고딕"/>
              </w:rPr>
              <w:t>5~10개 저수지 8주 파일럿, KPI, KRC→지자체→농업인 확장 경로</w:t>
            </w:r>
          </w:p>
        </w:tc>
      </w:tr>
      <w:tr>
        <w:tc>
          <w:tcPr>
            <w:tcW w:type="dxa" w:w="4986"/>
          </w:tcPr>
          <w:p>
            <w:r>
              <w:rPr>
                <w:rFonts w:ascii="맑은 고딕" w:hAnsi="맑은 고딕" w:eastAsia="맑은 고딕"/>
              </w:rPr>
              <w:t>AI 활용성 20</w:t>
            </w:r>
          </w:p>
        </w:tc>
        <w:tc>
          <w:tcPr>
            <w:tcW w:type="dxa" w:w="4986"/>
          </w:tcPr>
          <w:p>
            <w:r>
              <w:rPr>
                <w:rFonts w:ascii="맑은 고딕" w:hAnsi="맑은 고딕" w:eastAsia="맑은 고딕"/>
              </w:rPr>
              <w:t>데이터 적응형 전환 탐지, 설명 가능한 근거, 성능 미달 후보 배제</w:t>
            </w:r>
          </w:p>
        </w:tc>
      </w:tr>
      <w:tr>
        <w:tc>
          <w:tcPr>
            <w:tcW w:type="dxa" w:w="4986"/>
          </w:tcPr>
          <w:p>
            <w:r>
              <w:rPr>
                <w:rFonts w:ascii="맑은 고딕" w:hAnsi="맑은 고딕" w:eastAsia="맑은 고딕"/>
              </w:rPr>
              <w:t>완성도 10</w:t>
            </w:r>
          </w:p>
        </w:tc>
        <w:tc>
          <w:tcPr>
            <w:tcW w:type="dxa" w:w="4986"/>
          </w:tcPr>
          <w:p>
            <w:r>
              <w:rPr>
                <w:rFonts w:ascii="맑은 고딕" w:hAnsi="맑은 고딕" w:eastAsia="맑은 고딕"/>
              </w:rPr>
              <w:t>실제 API·지역 선택·차트·한계·비교·저장·공유·오류 처리</w:t>
            </w:r>
          </w:p>
        </w:tc>
      </w:tr>
    </w:tbl>
    <w:p>
      <w:pPr>
        <w:pStyle w:val="Heading1"/>
      </w:pPr>
      <w:r>
        <w:rPr>
          <w:rFonts w:ascii="맑은 고딕" w:hAnsi="맑은 고딕" w:eastAsia="맑은 고딕"/>
          <w:b w:val="0"/>
        </w:rPr>
        <w:t>최종 시연 링크</w:t>
      </w:r>
    </w:p>
    <w:p>
      <w:r>
        <w:rPr>
          <w:rFonts w:ascii="맑은 고딕" w:hAnsi="맑은 고딕" w:eastAsia="맑은 고딕"/>
          <w:b w:val="0"/>
        </w:rPr>
        <w:t>랜딩: http://localhost:4182/mulsallim-home.html</w:t>
      </w:r>
    </w:p>
    <w:p>
      <w:r>
        <w:rPr>
          <w:rFonts w:ascii="맑은 고딕" w:hAnsi="맑은 고딕" w:eastAsia="맑은 고딕"/>
          <w:b w:val="0"/>
        </w:rPr>
        <w:t>대시보드: http://localhost:4182/mulsallim-action.html</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맑은 고딕" w:hAnsi="맑은 고딕" w:eastAsia="맑은 고딕"/>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맑은 고딕" w:hAnsi="맑은 고딕" w:eastAsia="맑은 고딕"/>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