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b/>
          <w:color w:val="087A77"/>
          <w:sz w:val="22"/>
        </w:rPr>
        <w:t>제3회 KRC AI 디지털 혁신 공모전 | 서비스개발 분야</w:t>
      </w:r>
    </w:p>
    <w:p>
      <w:pPr>
        <w:spacing w:after="40"/>
        <w:jc w:val="left"/>
      </w:pPr>
      <w:r>
        <w:rPr>
          <w:b/>
          <w:color w:val="143B3B"/>
          <w:sz w:val="58"/>
        </w:rPr>
        <w:t>물살림 AI</w:t>
      </w:r>
    </w:p>
    <w:p>
      <w:pPr>
        <w:spacing w:after="360"/>
      </w:pPr>
      <w:r>
        <w:rPr>
          <w:b/>
          <w:color w:val="087A77"/>
          <w:sz w:val="32"/>
        </w:rPr>
        <w:t>관측값을 현장 행동으로 연결하는 농업용수 재확인 서비스</w:t>
      </w:r>
    </w:p>
    <w:p>
      <w:pPr>
        <w:spacing w:after="160" w:line="348" w:lineRule="auto"/>
      </w:pPr>
      <w:r>
        <w:rPr>
          <w:b w:val="0"/>
          <w:sz w:val="22"/>
        </w:rPr>
        <w:t>제안 요약  KRC 농촌용수 저수지 수위정보를 기반으로, 농업인과 현장 담당자가 “우리 지역 물 상황이 평소와 다른가?”, “이번 주에 무엇을 확인해야 하는가?”를 코드 없이 확인하고, 근거와 현장 메모를 공유하도록 돕는 웹 서비스입니다.</w:t>
      </w:r>
    </w:p>
    <w:tbl>
      <w:tblPr>
        <w:tblStyle w:val="TableGrid"/>
        <w:tblW w:type="auto" w:w="0"/>
        <w:jc w:val="center"/>
        <w:tblLook w:firstColumn="1" w:firstRow="1" w:lastColumn="0" w:lastRow="0" w:noHBand="0" w:noVBand="1" w:val="04A0"/>
      </w:tblPr>
      <w:tblGrid>
        <w:gridCol w:w="4986"/>
        <w:gridCol w:w="4986"/>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평가 관점</w:t>
            </w:r>
          </w:p>
        </w:tc>
        <w:tc>
          <w:tcPr>
            <w:tcW w:type="dxa" w:w="6803"/>
            <w:shd w:fill="087A77"/>
            <w:tcBorders>
              <w:top w:val="single" w:sz="4" w:color="FFFFFF"/>
              <w:left w:val="single" w:sz="4" w:color="FFFFFF"/>
              <w:bottom w:val="single" w:sz="4" w:color="FFFFFF"/>
              <w:right w:val="single" w:sz="4" w:color="FFFFFF"/>
            </w:tcBorders>
            <w:vAlign w:val="center"/>
          </w:tcPr>
          <w:p>
            <w:r>
              <w:rPr>
                <w:b/>
                <w:color w:val="FFFFFF"/>
              </w:rPr>
              <w:t>제출 핵심</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활용성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KRC 공개 저수지 코드·수위정보를 실제 지역 선택과 관측 근거 화면에 연결</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창의성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공식 경보를 흉내 내지 않고 “절수 협의 시작 시점”과 현장 대화에 집중</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사업성</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관심 저수지·재확인 일정·공유 요약으로 1회 조회가 아닌 반복 사용을 설계</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AI 활용성</w:t>
            </w:r>
          </w:p>
        </w:tc>
        <w:tc>
          <w:tcPr>
            <w:tcW w:type="dxa" w:w="6803"/>
            <w:shd w:fill="F8FCFA"/>
            <w:tcBorders>
              <w:top w:val="single" w:sz="4" w:color="C9DDD4"/>
              <w:left w:val="single" w:sz="4" w:color="C9DDD4"/>
              <w:bottom w:val="single" w:sz="4" w:color="C9DDD4"/>
              <w:right w:val="single" w:sz="4" w:color="C9DDD4"/>
            </w:tcBorders>
            <w:vAlign w:val="center"/>
          </w:tcPr>
          <w:p>
            <w:pPr>
              <w:spacing w:after="60" w:before="60"/>
            </w:pPr>
            <w:r>
              <w:t>검증 통과 모델만 반영하고, 미달 예측 모델은 배포에서 제외하는 거버넌스 적용</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완성도</w:t>
            </w:r>
          </w:p>
        </w:tc>
        <w:tc>
          <w:tcPr>
            <w:tcW w:type="dxa" w:w="6803"/>
            <w:shd w:fill="FFFFFF"/>
            <w:tcBorders>
              <w:top w:val="single" w:sz="4" w:color="C9DDD4"/>
              <w:left w:val="single" w:sz="4" w:color="C9DDD4"/>
              <w:bottom w:val="single" w:sz="4" w:color="C9DDD4"/>
              <w:right w:val="single" w:sz="4" w:color="C9DDD4"/>
            </w:tcBorders>
            <w:vAlign w:val="center"/>
          </w:tcPr>
          <w:p>
            <w:pPr>
              <w:spacing w:after="60" w:before="60"/>
            </w:pPr>
            <w:r>
              <w:t>지역→저수지→근거→이번 주 행동→공유·재확인의 단일 흐름 구현</w:t>
            </w:r>
          </w:p>
        </w:tc>
      </w:tr>
    </w:tbl>
    <w:p>
      <w:pPr>
        <w:spacing w:after="40"/>
      </w:pPr>
    </w:p>
    <w:p>
      <w:pPr>
        <w:pStyle w:val="Heading1"/>
      </w:pPr>
      <w:r>
        <w:t>1. 해결하려는 실제 문제</w:t>
      </w:r>
    </w:p>
    <w:p>
      <w:r>
        <w:rPr>
          <w:b w:val="0"/>
        </w:rPr>
        <w:t>저수율은 공개되어 있어도 사용자는 자신의 지역 저수지를 찾고, 숫자의 변화를 해석하고, 누구와 무엇을 논의할지까지 직접 연결해야 합니다. 기존 정보 화면은 현황 조회에는 강하지만, 농업인과 현장 담당자의 반복 과업인 “변화를 놓치지 않고 현장 확인을 시작하는 일”을 한 흐름으로 만들지 못합니다.</w:t>
      </w:r>
    </w:p>
    <w:p>
      <w:r>
        <w:rPr>
          <w:b/>
          <w:color w:val="087A77"/>
        </w:rPr>
        <w:t>물살림 AI는 예측 수치 경쟁이 아니라, 관측값을 이해 가능한 행동으로 번역하는 의사결정 보조 레이어를 제안합니다.</w:t>
      </w:r>
    </w:p>
    <w:p>
      <w:pPr>
        <w:pStyle w:val="Heading1"/>
      </w:pPr>
      <w:r>
        <w:t>2. 사용자와 핵심 과업</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사용자</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실제 질문</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서비스가 답하는 방식</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농업인</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우리 지역 물 상황이 평소와 다른가?</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최신 관측일·저수율·7일 변화와 관측 공백을 함께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농업인/이용자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이번 주에 무엇을 해야 하나?</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정기 관측·절수 준비·현장 점검의 보조 판단과 체크리스트 제공</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현장 담당자</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어떤 근거로 대화를 시작할까?</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판단 근거 카드, 현장 메모, 근거 포함 공유 요약 제공</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관리자</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다시 확인할 시점을 어떻게 놓치지 않을까?</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관심 저수지 저장과 캘린더 재확인 일정(.ics) 제공</w:t>
            </w:r>
          </w:p>
        </w:tc>
      </w:tr>
    </w:tbl>
    <w:p>
      <w:pPr>
        <w:spacing w:after="40"/>
      </w:pPr>
    </w:p>
    <w:p>
      <w:pPr>
        <w:pStyle w:val="Heading1"/>
      </w:pPr>
      <w:r>
        <w:t>3. 서비스 흐름과 실제 구현</w:t>
      </w:r>
    </w:p>
    <w:tbl>
      <w:tblPr>
        <w:tblStyle w:val="TableGrid"/>
        <w:tblW w:type="auto" w:w="0"/>
        <w:jc w:val="center"/>
        <w:tblLook w:firstColumn="1" w:firstRow="1" w:lastColumn="0" w:lastRow="0" w:noHBand="0" w:noVBand="1" w:val="04A0"/>
      </w:tblPr>
      <w:tblGrid>
        <w:gridCol w:w="3324"/>
        <w:gridCol w:w="3324"/>
        <w:gridCol w:w="3324"/>
      </w:tblGrid>
      <w:tr>
        <w:tc>
          <w:tcPr>
            <w:tcW w:type="dxa" w:w="737"/>
            <w:shd w:fill="087A77"/>
            <w:tcBorders>
              <w:top w:val="single" w:sz="4" w:color="FFFFFF"/>
              <w:left w:val="single" w:sz="4" w:color="FFFFFF"/>
              <w:bottom w:val="single" w:sz="4" w:color="FFFFFF"/>
              <w:right w:val="single" w:sz="4" w:color="FFFFFF"/>
            </w:tcBorders>
            <w:vAlign w:val="center"/>
          </w:tcPr>
          <w:p>
            <w:r>
              <w:rPr>
                <w:b/>
                <w:color w:val="FFFFFF"/>
              </w:rPr>
              <w:t>순서</w:t>
            </w:r>
          </w:p>
        </w:tc>
        <w:tc>
          <w:tcPr>
            <w:tcW w:type="dxa" w:w="2608"/>
            <w:shd w:fill="087A77"/>
            <w:tcBorders>
              <w:top w:val="single" w:sz="4" w:color="FFFFFF"/>
              <w:left w:val="single" w:sz="4" w:color="FFFFFF"/>
              <w:bottom w:val="single" w:sz="4" w:color="FFFFFF"/>
              <w:right w:val="single" w:sz="4" w:color="FFFFFF"/>
            </w:tcBorders>
            <w:vAlign w:val="center"/>
          </w:tcPr>
          <w:p>
            <w:r>
              <w:rPr>
                <w:b/>
                <w:color w:val="FFFFFF"/>
              </w:rPr>
              <w:t>사용자 경험</w:t>
            </w:r>
          </w:p>
        </w:tc>
        <w:tc>
          <w:tcPr>
            <w:tcW w:type="dxa" w:w="5159"/>
            <w:shd w:fill="087A77"/>
            <w:tcBorders>
              <w:top w:val="single" w:sz="4" w:color="FFFFFF"/>
              <w:left w:val="single" w:sz="4" w:color="FFFFFF"/>
              <w:bottom w:val="single" w:sz="4" w:color="FFFFFF"/>
              <w:right w:val="single" w:sz="4" w:color="FFFFFF"/>
            </w:tcBorders>
            <w:vAlign w:val="center"/>
          </w:tcPr>
          <w:p>
            <w:r>
              <w:rPr>
                <w:b/>
                <w:color w:val="FFFFFF"/>
              </w:rPr>
              <w:t>구현 기능</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01 지역 선택</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시·도와 시·군·구만 고른다.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사용자에게 저수지 코드를 노출하지 않고 KRC 코드 조회 API로 대상 목록 생성</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02 저수지 선택</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이름과 위치를 보고 대상 저수지를 고른다.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KRC 수위 API에서 최근 30/60/90일 관측값 호출</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03 근거 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현재 저수율과 변화가 왜 중요한지 본다.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저수율, 7일 변화, 하락 패턴, 관측 공백·신뢰도, 그래프 툴팁 제공</w:t>
            </w:r>
          </w:p>
        </w:tc>
      </w:tr>
      <w:tr>
        <w:tc>
          <w:tcPr>
            <w:tcW w:type="dxa" w:w="737"/>
            <w:shd w:fill="F8FCFA"/>
            <w:tcBorders>
              <w:top w:val="single" w:sz="4" w:color="C9DDD4"/>
              <w:left w:val="single" w:sz="4" w:color="C9DDD4"/>
              <w:bottom w:val="single" w:sz="4" w:color="C9DDD4"/>
              <w:right w:val="single" w:sz="4" w:color="C9DDD4"/>
            </w:tcBorders>
            <w:vAlign w:val="center"/>
          </w:tcPr>
          <w:p>
            <w:pPr>
              <w:spacing w:after="60" w:before="60"/>
            </w:pPr>
            <w:r>
              <w:t>04 이번 주 행동</w:t>
            </w:r>
          </w:p>
        </w:tc>
        <w:tc>
          <w:tcPr>
            <w:tcW w:type="dxa" w:w="2608"/>
            <w:shd w:fill="F8FCFA"/>
            <w:tcBorders>
              <w:top w:val="single" w:sz="4" w:color="C9DDD4"/>
              <w:left w:val="single" w:sz="4" w:color="C9DDD4"/>
              <w:bottom w:val="single" w:sz="4" w:color="C9DDD4"/>
              <w:right w:val="single" w:sz="4" w:color="C9DDD4"/>
            </w:tcBorders>
            <w:vAlign w:val="center"/>
          </w:tcPr>
          <w:p>
            <w:pPr>
              <w:spacing w:after="60" w:before="60"/>
            </w:pPr>
            <w:r>
              <w:t>화면을 닫기 전에 확인할 일을 정한다.</w:t>
            </w:r>
          </w:p>
        </w:tc>
        <w:tc>
          <w:tcPr>
            <w:tcW w:type="dxa" w:w="5159"/>
            <w:shd w:fill="F8FCFA"/>
            <w:tcBorders>
              <w:top w:val="single" w:sz="4" w:color="C9DDD4"/>
              <w:left w:val="single" w:sz="4" w:color="C9DDD4"/>
              <w:bottom w:val="single" w:sz="4" w:color="C9DDD4"/>
              <w:right w:val="single" w:sz="4" w:color="C9DDD4"/>
            </w:tcBorders>
            <w:vAlign w:val="center"/>
          </w:tcPr>
          <w:p>
            <w:pPr>
              <w:spacing w:after="60" w:before="60"/>
            </w:pPr>
            <w:r>
              <w:t>위험 단계별 현장 점검 체크리스트, ADMS 공식 정보 링크, 기기 내 메모 제공</w:t>
            </w:r>
          </w:p>
        </w:tc>
      </w:tr>
      <w:tr>
        <w:tc>
          <w:tcPr>
            <w:tcW w:type="dxa" w:w="737"/>
            <w:shd w:fill="FFFFFF"/>
            <w:tcBorders>
              <w:top w:val="single" w:sz="4" w:color="C9DDD4"/>
              <w:left w:val="single" w:sz="4" w:color="C9DDD4"/>
              <w:bottom w:val="single" w:sz="4" w:color="C9DDD4"/>
              <w:right w:val="single" w:sz="4" w:color="C9DDD4"/>
            </w:tcBorders>
            <w:vAlign w:val="center"/>
          </w:tcPr>
          <w:p>
            <w:pPr>
              <w:spacing w:after="60" w:before="60"/>
            </w:pPr>
            <w:r>
              <w:t>05 공유·재확인</w:t>
            </w:r>
          </w:p>
        </w:tc>
        <w:tc>
          <w:tcPr>
            <w:tcW w:type="dxa" w:w="2608"/>
            <w:shd w:fill="FFFFFF"/>
            <w:tcBorders>
              <w:top w:val="single" w:sz="4" w:color="C9DDD4"/>
              <w:left w:val="single" w:sz="4" w:color="C9DDD4"/>
              <w:bottom w:val="single" w:sz="4" w:color="C9DDD4"/>
              <w:right w:val="single" w:sz="4" w:color="C9DDD4"/>
            </w:tcBorders>
            <w:vAlign w:val="center"/>
          </w:tcPr>
          <w:p>
            <w:pPr>
              <w:spacing w:after="60" w:before="60"/>
            </w:pPr>
            <w:r>
              <w:t>담당자와 같은 근거를 보고 다음 확인을 예약한다.</w:t>
            </w:r>
          </w:p>
        </w:tc>
        <w:tc>
          <w:tcPr>
            <w:tcW w:type="dxa" w:w="5159"/>
            <w:shd w:fill="FFFFFF"/>
            <w:tcBorders>
              <w:top w:val="single" w:sz="4" w:color="C9DDD4"/>
              <w:left w:val="single" w:sz="4" w:color="C9DDD4"/>
              <w:bottom w:val="single" w:sz="4" w:color="C9DDD4"/>
              <w:right w:val="single" w:sz="4" w:color="C9DDD4"/>
            </w:tcBorders>
            <w:vAlign w:val="center"/>
          </w:tcPr>
          <w:p>
            <w:pPr>
              <w:spacing w:after="60" w:before="60"/>
            </w:pPr>
            <w:r>
              <w:t>TXT 브리핑, 관심 저수지 저장, 캘린더 일정 파일 제공</w:t>
            </w:r>
          </w:p>
        </w:tc>
      </w:tr>
    </w:tbl>
    <w:p>
      <w:pPr>
        <w:spacing w:after="40"/>
      </w:pPr>
    </w:p>
    <w:p>
      <w:pPr>
        <w:pStyle w:val="Heading1"/>
      </w:pPr>
      <w:r>
        <w:t>4. AI·데이터 활용성과 안전한 한계</w:t>
      </w:r>
    </w:p>
    <w:p>
      <w:r>
        <w:rPr>
          <w:b w:val="0"/>
        </w:rPr>
        <w:t>데이터는 한국농어촌공사 농촌용수 저수지 수위정보의 저수지명·위치·관측일·수위·저수율을 사용합니다. 화면에는 데이터 출처, 관측기간, 누락일 수, 신뢰도 점수를 노출해 사용자가 수치의 상태를 함께 판단할 수 있게 했습니다.</w:t>
      </w:r>
    </w:p>
    <w:p>
      <w:r>
        <w:rPr>
          <w:b w:val="0"/>
        </w:rPr>
        <w:t>AI는 법정 가뭄경보를 발령하거나 급수·절수 결정을 자동화하지 않습니다. 최근 7일의 강건 추세와 과거 일별 변화 분포를 비교해 하락 패턴의 이상성을 보조 근거로 제시합니다. Isolation Forest 기반 전환 이상성 평가의 최신 결과는 2026-07-24 관측 기준 이상성 점수 0.505, 과거 분포 백분위 76.0입니다. 이 수치는 가뭄 예보가 아니라 “과거 패턴과 얼마나 다른가”를 설명하는 근거입니다.</w:t>
      </w:r>
    </w:p>
    <w:p>
      <w:r>
        <w:rPr>
          <w:b/>
        </w:rPr>
        <w:t>또한 Gradient Boosting 예측 후보는 기준선보다 성능이 낮았습니다(MAE 18.633%p, 기준선 9.817%p). 따라서 배포 판단에서 제외했습니다. 모델이 있다는 주장보다, 검증에서 이기지 못한 모델을 제외하는 원칙이 공공 서비스의 신뢰를 높인다고 판단했습니다.</w:t>
      </w:r>
    </w:p>
    <w:tbl>
      <w:tblPr>
        <w:tblStyle w:val="TableGrid"/>
        <w:tblW w:type="auto" w:w="0"/>
        <w:jc w:val="center"/>
        <w:tblLook w:firstColumn="1" w:firstRow="1" w:lastColumn="0" w:lastRow="0" w:noHBand="0" w:noVBand="1" w:val="04A0"/>
      </w:tblPr>
      <w:tblGrid>
        <w:gridCol w:w="4986"/>
        <w:gridCol w:w="4986"/>
      </w:tblGrid>
      <w:tr>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하는 일</w:t>
            </w:r>
          </w:p>
        </w:tc>
        <w:tc>
          <w:tcPr>
            <w:tcW w:type="dxa" w:w="4252"/>
            <w:shd w:fill="087A77"/>
            <w:tcBorders>
              <w:top w:val="single" w:sz="4" w:color="FFFFFF"/>
              <w:left w:val="single" w:sz="4" w:color="FFFFFF"/>
              <w:bottom w:val="single" w:sz="4" w:color="FFFFFF"/>
              <w:right w:val="single" w:sz="4" w:color="FFFFFF"/>
            </w:tcBorders>
            <w:vAlign w:val="center"/>
          </w:tcPr>
          <w:p>
            <w:r>
              <w:rPr>
                <w:b/>
                <w:color w:val="FFFFFF"/>
              </w:rPr>
              <w:t>서비스가 하지 않는 일</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관측 변화를 정리하고 현장 확인·공유를 돕는다.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공식 가뭄경보, 급수 배분, 절수 지시를 대체하지 않는다.</w:t>
            </w:r>
          </w:p>
        </w:tc>
      </w:tr>
      <w:tr>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근거와 데이터 품질을 함께 보여 준다.</w:t>
            </w:r>
          </w:p>
        </w:tc>
        <w:tc>
          <w:tcPr>
            <w:tcW w:type="dxa" w:w="4252"/>
            <w:shd w:fill="F8FCFA"/>
            <w:tcBorders>
              <w:top w:val="single" w:sz="4" w:color="C9DDD4"/>
              <w:left w:val="single" w:sz="4" w:color="C9DDD4"/>
              <w:bottom w:val="single" w:sz="4" w:color="C9DDD4"/>
              <w:right w:val="single" w:sz="4" w:color="C9DDD4"/>
            </w:tcBorders>
            <w:vAlign w:val="center"/>
          </w:tcPr>
          <w:p>
            <w:pPr>
              <w:spacing w:after="60" w:before="60"/>
            </w:pPr>
            <w:r>
              <w:t>불확실한 예측값을 확정값처럼 제시하지 않는다.</w:t>
            </w:r>
          </w:p>
        </w:tc>
      </w:tr>
      <w:tr>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ADMS 공식 정보를 함께 확인하도록 연결한다.</w:t>
            </w:r>
          </w:p>
        </w:tc>
        <w:tc>
          <w:tcPr>
            <w:tcW w:type="dxa" w:w="4252"/>
            <w:shd w:fill="FFFFFF"/>
            <w:tcBorders>
              <w:top w:val="single" w:sz="4" w:color="C9DDD4"/>
              <w:left w:val="single" w:sz="4" w:color="C9DDD4"/>
              <w:bottom w:val="single" w:sz="4" w:color="C9DDD4"/>
              <w:right w:val="single" w:sz="4" w:color="C9DDD4"/>
            </w:tcBorders>
            <w:vAlign w:val="center"/>
          </w:tcPr>
          <w:p>
            <w:pPr>
              <w:spacing w:after="60" w:before="60"/>
            </w:pPr>
            <w:r>
              <w:t>권한 없는 자동 의사결정을 실행하지 않는다.</w:t>
            </w:r>
          </w:p>
        </w:tc>
      </w:tr>
    </w:tbl>
    <w:p>
      <w:pPr>
        <w:spacing w:after="40"/>
      </w:pPr>
    </w:p>
    <w:p>
      <w:pPr>
        <w:pStyle w:val="Heading1"/>
      </w:pPr>
      <w:r>
        <w:t>5. 차별성 및 확장성</w:t>
      </w:r>
    </w:p>
    <w:p>
      <w:r>
        <w:rPr>
          <w:b w:val="0"/>
        </w:rPr>
        <w:t>ADMS와 같은 공식 정보 체계는 가뭄 현황과 안내의 기준입니다. 물살림 AI는 이를 대체하려 하지 않습니다. 차별점은 개별 사용자의 지역·저수지 단위에서 관측값을 “오늘 무엇을 확인할지”로 번역하고, 현장 메모·공유·재확인이라는 반복 사용 흐름을 만드는 데 있습니다.</w:t>
      </w:r>
    </w:p>
    <w:p>
      <w:pPr>
        <w:pStyle w:val="ListBullet"/>
      </w:pPr>
      <w:r>
        <w:t>1단계: KRC 공개 수위정보 기반 지역 선택·근거·체크리스트·공유 기능 운영</w:t>
      </w:r>
    </w:p>
    <w:p>
      <w:pPr>
        <w:pStyle w:val="ListBullet"/>
      </w:pPr>
      <w:r>
        <w:t>2단계: 사용자 동의 기반 현장 확인 기록을 익명·집계하여 지역 담당자 협의 자료로 확장</w:t>
      </w:r>
    </w:p>
    <w:p>
      <w:pPr>
        <w:pStyle w:val="ListBullet"/>
      </w:pPr>
      <w:r>
        <w:t>3단계: KRC와 협의한 추가 데이터(유효저수량, 수혜면적, 시설 상태 등)가 확보될 때만 검증된 모델 범위를 확장</w:t>
      </w:r>
    </w:p>
    <w:p>
      <w:pPr>
        <w:pStyle w:val="Heading1"/>
      </w:pPr>
      <w:r>
        <w:t>6. 성과 측정과 현장 검증 계획</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087A77"/>
            <w:tcBorders>
              <w:top w:val="single" w:sz="4" w:color="FFFFFF"/>
              <w:left w:val="single" w:sz="4" w:color="FFFFFF"/>
              <w:bottom w:val="single" w:sz="4" w:color="FFFFFF"/>
              <w:right w:val="single" w:sz="4" w:color="FFFFFF"/>
            </w:tcBorders>
            <w:vAlign w:val="center"/>
          </w:tcPr>
          <w:p>
            <w:r>
              <w:rPr>
                <w:b/>
                <w:color w:val="FFFFFF"/>
              </w:rPr>
              <w:t>지표</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측정 방법</w:t>
            </w:r>
          </w:p>
        </w:tc>
        <w:tc>
          <w:tcPr>
            <w:tcW w:type="dxa" w:w="3402"/>
            <w:shd w:fill="087A77"/>
            <w:tcBorders>
              <w:top w:val="single" w:sz="4" w:color="FFFFFF"/>
              <w:left w:val="single" w:sz="4" w:color="FFFFFF"/>
              <w:bottom w:val="single" w:sz="4" w:color="FFFFFF"/>
              <w:right w:val="single" w:sz="4" w:color="FFFFFF"/>
            </w:tcBorders>
            <w:vAlign w:val="center"/>
          </w:tcPr>
          <w:p>
            <w:r>
              <w:rPr>
                <w:b/>
                <w:color w:val="FFFFFF"/>
              </w:rPr>
              <w:t>목표/판단 기준</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반복 사용</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관심 저수지 저장 후 재방문 비율</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현장 파일럿에서 주간 재확인 행동이 일어나는지 검증</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이해 가능성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근거 카드 후 “다음 행동” 선택 성공률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농업인·담당자가 같은 판단 근거를 설명 가능한지 확인</w:t>
            </w:r>
          </w:p>
        </w:tc>
      </w:tr>
      <w:tr>
        <w:tc>
          <w:tcPr>
            <w:tcW w:type="dxa" w:w="1701"/>
            <w:shd w:fill="FFFFFF"/>
            <w:tcBorders>
              <w:top w:val="single" w:sz="4" w:color="C9DDD4"/>
              <w:left w:val="single" w:sz="4" w:color="C9DDD4"/>
              <w:bottom w:val="single" w:sz="4" w:color="C9DDD4"/>
              <w:right w:val="single" w:sz="4" w:color="C9DDD4"/>
            </w:tcBorders>
            <w:vAlign w:val="center"/>
          </w:tcPr>
          <w:p>
            <w:pPr>
              <w:spacing w:after="60" w:before="60"/>
            </w:pPr>
            <w:r>
              <w:t>공유 실용성</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브리핑 복사·다운로드·메모 사용 건수</w:t>
            </w:r>
          </w:p>
        </w:tc>
        <w:tc>
          <w:tcPr>
            <w:tcW w:type="dxa" w:w="3402"/>
            <w:shd w:fill="FFFFFF"/>
            <w:tcBorders>
              <w:top w:val="single" w:sz="4" w:color="C9DDD4"/>
              <w:left w:val="single" w:sz="4" w:color="C9DDD4"/>
              <w:bottom w:val="single" w:sz="4" w:color="C9DDD4"/>
              <w:right w:val="single" w:sz="4" w:color="C9DDD4"/>
            </w:tcBorders>
            <w:vAlign w:val="center"/>
          </w:tcPr>
          <w:p>
            <w:pPr>
              <w:spacing w:after="60" w:before="60"/>
            </w:pPr>
            <w:r>
              <w:t>수치 조회가 현장 대화로 이어지는지 확인</w:t>
            </w:r>
          </w:p>
        </w:tc>
      </w:tr>
      <w:tr>
        <w:tc>
          <w:tcPr>
            <w:tcW w:type="dxa" w:w="1701"/>
            <w:shd w:fill="F8FCFA"/>
            <w:tcBorders>
              <w:top w:val="single" w:sz="4" w:color="C9DDD4"/>
              <w:left w:val="single" w:sz="4" w:color="C9DDD4"/>
              <w:bottom w:val="single" w:sz="4" w:color="C9DDD4"/>
              <w:right w:val="single" w:sz="4" w:color="C9DDD4"/>
            </w:tcBorders>
            <w:vAlign w:val="center"/>
          </w:tcPr>
          <w:p>
            <w:pPr>
              <w:spacing w:after="60" w:before="60"/>
            </w:pPr>
            <w:r>
              <w:t>안전성</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안내 링크 확인 및 오판 신고</w:t>
            </w:r>
          </w:p>
        </w:tc>
        <w:tc>
          <w:tcPr>
            <w:tcW w:type="dxa" w:w="3402"/>
            <w:shd w:fill="F8FCFA"/>
            <w:tcBorders>
              <w:top w:val="single" w:sz="4" w:color="C9DDD4"/>
              <w:left w:val="single" w:sz="4" w:color="C9DDD4"/>
              <w:bottom w:val="single" w:sz="4" w:color="C9DDD4"/>
              <w:right w:val="single" w:sz="4" w:color="C9DDD4"/>
            </w:tcBorders>
            <w:vAlign w:val="center"/>
          </w:tcPr>
          <w:p>
            <w:pPr>
              <w:spacing w:after="60" w:before="60"/>
            </w:pPr>
            <w:r>
              <w:t>공식 경보 대체로 오인되는 표현·흐름을 지속 개선</w:t>
            </w:r>
          </w:p>
        </w:tc>
      </w:tr>
    </w:tbl>
    <w:p>
      <w:pPr>
        <w:spacing w:after="40"/>
      </w:pPr>
    </w:p>
    <w:p>
      <w:r>
        <w:rPr>
          <w:b/>
          <w:color w:val="087A77"/>
        </w:rPr>
        <w:t>현재 파일럿 성과를 이미 보유했다고 주장하지 않습니다. 제출 후 KRC·지자체 담당자 및 농업인 5~10명을 대상으로 사용성 검증을 수행하고, 반복 사용·이해·공유·안전성 지표를 바탕으로 개선합니다.</w:t>
      </w:r>
    </w:p>
    <w:p>
      <w:pPr>
        <w:pStyle w:val="Heading1"/>
      </w:pPr>
      <w:r>
        <w:t>7. 시연 경로</w:t>
      </w:r>
    </w:p>
    <w:p>
      <w:pPr>
        <w:pStyle w:val="ListBullet"/>
      </w:pPr>
      <w:r>
        <w:t>랜딩 페이지: http://localhost:4184/mulsallim-public-county-v4.html</w:t>
      </w:r>
    </w:p>
    <w:p>
      <w:pPr>
        <w:pStyle w:val="ListBullet"/>
      </w:pPr>
      <w:r>
        <w:t>실사용 대시보드: http://localhost:4184/mulsallim-dashboard-county-v4.html</w:t>
      </w:r>
    </w:p>
    <w:p>
      <w:pPr>
        <w:pStyle w:val="ListBullet"/>
      </w:pPr>
      <w:r>
        <w:t>권장 시연: 충청남도 → 논산시 → KRC 관측 저수지 선택 → 관측 근거 확인 → 이번 주 행동·현장 메모 → 브리핑 공유 → 재확인 일정 저장</w:t>
      </w:r>
    </w:p>
    <w:p>
      <w:pPr>
        <w:spacing w:before="160"/>
      </w:pPr>
      <w:r>
        <w:rPr>
          <w:b w:val="0"/>
          <w:color w:val="5D7470"/>
          <w:sz w:val="18"/>
        </w:rPr>
        <w:t>공식 참고: 한국농어촌공사 농촌용수 저수지 수위정보(공공데이터포털), 한국농어촌공사 농업가뭄관리시스템 ADMS.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14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087A77"/>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맑은 고딕" w:hAnsi="맑은 고딕" w:eastAsia="맑은 고딕"/>
      <w:b/>
      <w:bCs/>
      <w:color w:val="087A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