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08706D"/>
          <w:sz w:val="52"/>
        </w:rPr>
        <w:t>물살림 AI</w:t>
      </w:r>
    </w:p>
    <w:p>
      <w:r>
        <w:rPr>
          <w:rFonts w:ascii="맑은 고딕" w:hAnsi="맑은 고딕" w:eastAsia="맑은 고딕"/>
          <w:b/>
          <w:sz w:val="32"/>
        </w:rPr>
        <w:t>지역 농업용수 위험 판단 및 절수 협의 지원 서비스</w:t>
      </w:r>
    </w:p>
    <w:p>
      <w:r>
        <w:rPr>
          <w:rFonts w:ascii="맑은 고딕" w:hAnsi="맑은 고딕" w:eastAsia="맑은 고딕"/>
          <w:b w:val="0"/>
          <w:color w:val="59706B"/>
          <w:sz w:val="20"/>
        </w:rPr>
        <w:t>서비스개발 분야 제출용 최종 서비스 명세서 | 2026. 07. 24.</w:t>
      </w:r>
    </w:p>
    <w:p>
      <w:pPr>
        <w:pStyle w:val="Heading1"/>
      </w:pPr>
      <w:r>
        <w:rPr>
          <w:rFonts w:ascii="맑은 고딕" w:hAnsi="맑은 고딕" w:eastAsia="맑은 고딕"/>
          <w:b w:val="0"/>
        </w:rPr>
        <w:t>1. 서비스 개요</w:t>
      </w:r>
    </w:p>
    <w:p>
      <w:r>
        <w:rPr>
          <w:rFonts w:ascii="맑은 고딕" w:hAnsi="맑은 고딕" w:eastAsia="맑은 고딕"/>
          <w:b w:val="0"/>
        </w:rPr>
        <w:t>물살림 AI는 한국농어촌공사(KRC) 농촌용수 저수지 수위 공공데이터를 국민·농업인·현장 담당자가 바로 이해할 수 있는 지역 기반 의사결정 화면으로 바꾸는 서비스다. 단순 수치 조회가 아니라 저수율, 최근 7일 변화, 위험 경계선, 관측 결측 상태를 함께 제시하고 동일 지역 비교와 작물별 절수 시나리오까지 연결한다.</w:t>
      </w:r>
    </w:p>
    <w:p>
      <w:pPr>
        <w:pStyle w:val="Heading1"/>
      </w:pPr>
      <w:r>
        <w:rPr>
          <w:rFonts w:ascii="맑은 고딕" w:hAnsi="맑은 고딕" w:eastAsia="맑은 고딕"/>
          <w:b w:val="0"/>
        </w:rPr>
        <w:t>2. 문제 인식과 해결</w:t>
      </w:r>
    </w:p>
    <w:p>
      <w:r>
        <w:rPr>
          <w:rFonts w:ascii="맑은 고딕" w:hAnsi="맑은 고딕" w:eastAsia="맑은 고딕"/>
          <w:b w:val="0"/>
        </w:rPr>
        <w:t>저수지 수위 정보는 존재하지만 주민과 농업인은 시설 코드와 개별 수치만으로 지금의 위험도와 다음 행동을 판단하기 어렵다. 물살림 AI는 지역 선택부터 시작해 사용자가 시설 코드를 보지 않아도 관련 저수지를 찾도록 한다. 관측 원자료를 추세·경계선·근거 문장으로 해석하고, 현장 협의에 필요한 비교와 절수 선택지를 제공한다.</w:t>
      </w:r>
    </w:p>
    <w:p>
      <w:pPr>
        <w:pStyle w:val="Heading1"/>
      </w:pPr>
      <w:r>
        <w:rPr>
          <w:rFonts w:ascii="맑은 고딕" w:hAnsi="맑은 고딕" w:eastAsia="맑은 고딕"/>
          <w:b w:val="0"/>
        </w:rPr>
        <w:t>3. 실제 배포 대시보드 기능</w:t>
      </w:r>
    </w:p>
    <w:p>
      <w:pPr>
        <w:pStyle w:val="ListBullet"/>
      </w:pPr>
      <w:r>
        <w:rPr>
          <w:rFonts w:ascii="맑은 고딕" w:hAnsi="맑은 고딕" w:eastAsia="맑은 고딕"/>
        </w:rPr>
        <w:t>지역 중심 탐색: 시·도와 시·군·구를 고르면 KRC 저수지 후보를 실시간 조회한다. 시설 코드는 내부 요청에만 쓰며 화면에 노출하지 않는다.</w:t>
      </w:r>
    </w:p>
    <w:p>
      <w:pPr>
        <w:pStyle w:val="ListBullet"/>
      </w:pPr>
      <w:r>
        <w:rPr>
          <w:rFonts w:ascii="맑은 고딕" w:hAnsi="맑은 고딕" w:eastAsia="맑은 고딕"/>
        </w:rPr>
        <w:t>인터랙티브 추세: 7·30·90일 전환, X·Y축 수치, 50% 관심선과 35% 주의선, 관측점 도구 설명으로 저수율·수위·관측일을 확인한다.</w:t>
      </w:r>
    </w:p>
    <w:p>
      <w:pPr>
        <w:pStyle w:val="ListBullet"/>
      </w:pPr>
      <w:r>
        <w:rPr>
          <w:rFonts w:ascii="맑은 고딕" w:hAnsi="맑은 고딕" w:eastAsia="맑은 고딕"/>
        </w:rPr>
        <w:t>설명 가능한 위험 판단: 저수율 35% 이하 또는 최근 7일 15%p 이상 하락은 주의, 저수율 50% 이하 또는 최근 7일 7%p 이상 하락은 관심으로 표시한다. 적용된 기준과 관측 건수·누락 건수·최신 관측일을 함께 보여 준다.</w:t>
      </w:r>
    </w:p>
    <w:p>
      <w:pPr>
        <w:pStyle w:val="ListBullet"/>
      </w:pPr>
      <w:r>
        <w:rPr>
          <w:rFonts w:ascii="맑은 고딕" w:hAnsi="맑은 고딕" w:eastAsia="맑은 고딕"/>
        </w:rPr>
        <w:t>동일 지역 비교: 같은 시·군·구 저수지를 최신 저수율과 7일 변화로 정렬해 우선 확인 대상을 찾는다.</w:t>
      </w:r>
    </w:p>
    <w:p>
      <w:pPr>
        <w:pStyle w:val="ListBullet"/>
      </w:pPr>
      <w:r>
        <w:rPr>
          <w:rFonts w:ascii="맑은 고딕" w:hAnsi="맑은 고딕" w:eastAsia="맑은 고딕"/>
        </w:rPr>
        <w:t>작물별 절수 시나리오: 논·밭작물·과수, 생육 단계, 면적을 입력하면 기본·10%·20% 절수 시 일일 예상 용수 수요를 비교한다. 이는 현장 협의용 추정치임을 명시한다.</w:t>
      </w:r>
    </w:p>
    <w:p>
      <w:pPr>
        <w:pStyle w:val="Heading1"/>
      </w:pPr>
      <w:r>
        <w:rPr>
          <w:rFonts w:ascii="맑은 고딕" w:hAnsi="맑은 고딕" w:eastAsia="맑은 고딕"/>
          <w:b w:val="0"/>
        </w:rPr>
        <w:t>4. AI 활용과 검증 원칙</w:t>
      </w:r>
    </w:p>
    <w:p>
      <w:r>
        <w:rPr>
          <w:rFonts w:ascii="맑은 고딕" w:hAnsi="맑은 고딕" w:eastAsia="맑은 고딕"/>
          <w:b w:val="0"/>
        </w:rPr>
        <w:t>서버는 매일 KRC 관측치를 수집하고 기준모델과 후보모델을 같은 검증 방식으로 비교한다. 탑정저수지 365일 데이터의 7일 예측 검증에서 전일값 유지 기준모델은 MAE 9.817%p, MAPE 18.913%였고, Gradient Boosting 후보는 MAE 18.633%p, MAPE 41.386%였다. 후보 모델이 기준보다 나빠 배포 모델로 채택하지 않았다. 강수량·가뭄 단계·용수 수요 특성을 결합한 뒤 동일 기준으로 재검증할 계획이며, 현재 대시보드에도 이 배제 사유를 투명하게 표시한다.</w:t>
      </w:r>
    </w:p>
    <w:p>
      <w:pPr>
        <w:pStyle w:val="Heading1"/>
      </w:pPr>
      <w:r>
        <w:rPr>
          <w:rFonts w:ascii="맑은 고딕" w:hAnsi="맑은 고딕" w:eastAsia="맑은 고딕"/>
          <w:b w:val="0"/>
        </w:rPr>
        <w:t>5. 공공데이터·보안·신뢰성</w:t>
      </w:r>
    </w:p>
    <w:p>
      <w:pPr>
        <w:pStyle w:val="ListBullet"/>
      </w:pPr>
      <w:r>
        <w:rPr>
          <w:rFonts w:ascii="맑은 고딕" w:hAnsi="맑은 고딕" w:eastAsia="맑은 고딕"/>
        </w:rPr>
        <w:t>데이터 원천: 한국농어촌공사 농촌용수 저수지 수위정보 API의 reservoircode, reservoirlevel.</w:t>
      </w:r>
    </w:p>
    <w:p>
      <w:pPr>
        <w:pStyle w:val="ListBullet"/>
      </w:pPr>
      <w:r>
        <w:rPr>
          <w:rFonts w:ascii="맑은 고딕" w:hAnsi="맑은 고딕" w:eastAsia="맑은 고딕"/>
        </w:rPr>
        <w:t>인증키는 브라우저·URL·문서에 노출하지 않고 서버 환경변수에만 보관한다.</w:t>
      </w:r>
    </w:p>
    <w:p>
      <w:pPr>
        <w:pStyle w:val="ListBullet"/>
      </w:pPr>
      <w:r>
        <w:rPr>
          <w:rFonts w:ascii="맑은 고딕" w:hAnsi="맑은 고딕" w:eastAsia="맑은 고딕"/>
        </w:rPr>
        <w:t>API 오류·빈 응답은 예시 수치로 대체하지 않고 오류 원인과 재시도 필요성을 안내한다.</w:t>
      </w:r>
    </w:p>
    <w:p>
      <w:pPr>
        <w:pStyle w:val="ListBullet"/>
      </w:pPr>
      <w:r>
        <w:rPr>
          <w:rFonts w:ascii="맑은 고딕" w:hAnsi="맑은 고딕" w:eastAsia="맑은 고딕"/>
        </w:rPr>
        <w:t>위험 표시는 법정 가뭄 경보, 급수 지시, 농업용수 배분 결정을 대체하지 않는 의사결정 보조 정보다.</w:t>
      </w:r>
    </w:p>
    <w:p>
      <w:pPr>
        <w:pStyle w:val="Heading1"/>
      </w:pPr>
      <w:r>
        <w:rPr>
          <w:rFonts w:ascii="맑은 고딕" w:hAnsi="맑은 고딕" w:eastAsia="맑은 고딕"/>
          <w:b w:val="0"/>
        </w:rPr>
        <w:t>6. 심사 기준 대응</w:t>
      </w:r>
    </w:p>
    <w:tbl>
      <w:tblPr>
        <w:tblStyle w:val="TableGrid"/>
        <w:tblW w:type="auto" w:w="0"/>
        <w:tblLook w:firstColumn="1" w:firstRow="1" w:lastColumn="0" w:lastRow="0" w:noHBand="0" w:noVBand="1" w:val="04A0"/>
      </w:tblPr>
      <w:tblGrid>
        <w:gridCol w:w="4986"/>
        <w:gridCol w:w="4986"/>
      </w:tblGrid>
      <w:tr>
        <w:tc>
          <w:tcPr>
            <w:tcW w:type="dxa" w:w="4986"/>
          </w:tcPr>
          <w:p>
            <w:r>
              <w:rPr>
                <w:rFonts w:ascii="맑은 고딕" w:hAnsi="맑은 고딕" w:eastAsia="맑은 고딕"/>
                <w:b/>
              </w:rPr>
              <w:t>평가 항목</w:t>
            </w:r>
          </w:p>
        </w:tc>
        <w:tc>
          <w:tcPr>
            <w:tcW w:type="dxa" w:w="4986"/>
          </w:tcPr>
          <w:p>
            <w:r>
              <w:rPr>
                <w:rFonts w:ascii="맑은 고딕" w:hAnsi="맑은 고딕" w:eastAsia="맑은 고딕"/>
                <w:b/>
              </w:rPr>
              <w:t>구현 근거</w:t>
            </w:r>
          </w:p>
        </w:tc>
      </w:tr>
      <w:tr>
        <w:tc>
          <w:tcPr>
            <w:tcW w:type="dxa" w:w="4986"/>
          </w:tcPr>
          <w:p>
            <w:r>
              <w:rPr>
                <w:rFonts w:ascii="맑은 고딕" w:hAnsi="맑은 고딕" w:eastAsia="맑은 고딕"/>
              </w:rPr>
              <w:t>활용성 (30)</w:t>
            </w:r>
          </w:p>
        </w:tc>
        <w:tc>
          <w:tcPr>
            <w:tcW w:type="dxa" w:w="4986"/>
          </w:tcPr>
          <w:p>
            <w:r>
              <w:rPr>
                <w:rFonts w:ascii="맑은 고딕" w:hAnsi="맑은 고딕" w:eastAsia="맑은 고딕"/>
              </w:rPr>
              <w:t>KRC 원자료를 지역 선택·추세·비교·절수 협의에 직접 활용</w:t>
            </w:r>
          </w:p>
        </w:tc>
      </w:tr>
      <w:tr>
        <w:tc>
          <w:tcPr>
            <w:tcW w:type="dxa" w:w="4986"/>
          </w:tcPr>
          <w:p>
            <w:r>
              <w:rPr>
                <w:rFonts w:ascii="맑은 고딕" w:hAnsi="맑은 고딕" w:eastAsia="맑은 고딕"/>
              </w:rPr>
              <w:t>창의성 (20)</w:t>
            </w:r>
          </w:p>
        </w:tc>
        <w:tc>
          <w:tcPr>
            <w:tcW w:type="dxa" w:w="4986"/>
          </w:tcPr>
          <w:p>
            <w:r>
              <w:rPr>
                <w:rFonts w:ascii="맑은 고딕" w:hAnsi="맑은 고딕" w:eastAsia="맑은 고딕"/>
              </w:rPr>
              <w:t>수위 조회를 지역 기반 위험 근거와 공동 절수 협의 흐름으로 전환</w:t>
            </w:r>
          </w:p>
        </w:tc>
      </w:tr>
      <w:tr>
        <w:tc>
          <w:tcPr>
            <w:tcW w:type="dxa" w:w="4986"/>
          </w:tcPr>
          <w:p>
            <w:r>
              <w:rPr>
                <w:rFonts w:ascii="맑은 고딕" w:hAnsi="맑은 고딕" w:eastAsia="맑은 고딕"/>
              </w:rPr>
              <w:t>사업성 (20)</w:t>
            </w:r>
          </w:p>
        </w:tc>
        <w:tc>
          <w:tcPr>
            <w:tcW w:type="dxa" w:w="4986"/>
          </w:tcPr>
          <w:p>
            <w:r>
              <w:rPr>
                <w:rFonts w:ascii="맑은 고딕" w:hAnsi="맑은 고딕" w:eastAsia="맑은 고딕"/>
              </w:rPr>
              <w:t>주민·농업인·현장 담당자가 동일 화면을 사용하고 지역별 확장 가능</w:t>
            </w:r>
          </w:p>
        </w:tc>
      </w:tr>
      <w:tr>
        <w:tc>
          <w:tcPr>
            <w:tcW w:type="dxa" w:w="4986"/>
          </w:tcPr>
          <w:p>
            <w:r>
              <w:rPr>
                <w:rFonts w:ascii="맑은 고딕" w:hAnsi="맑은 고딕" w:eastAsia="맑은 고딕"/>
              </w:rPr>
              <w:t>AI 활용성 (20)</w:t>
            </w:r>
          </w:p>
        </w:tc>
        <w:tc>
          <w:tcPr>
            <w:tcW w:type="dxa" w:w="4986"/>
          </w:tcPr>
          <w:p>
            <w:r>
              <w:rPr>
                <w:rFonts w:ascii="맑은 고딕" w:hAnsi="맑은 고딕" w:eastAsia="맑은 고딕"/>
              </w:rPr>
              <w:t>성능 수치 검증, 미달 후보 배제, 재검증 계획을 공개</w:t>
            </w:r>
          </w:p>
        </w:tc>
      </w:tr>
      <w:tr>
        <w:tc>
          <w:tcPr>
            <w:tcW w:type="dxa" w:w="4986"/>
          </w:tcPr>
          <w:p>
            <w:r>
              <w:rPr>
                <w:rFonts w:ascii="맑은 고딕" w:hAnsi="맑은 고딕" w:eastAsia="맑은 고딕"/>
              </w:rPr>
              <w:t>완성도 (10)</w:t>
            </w:r>
          </w:p>
        </w:tc>
        <w:tc>
          <w:tcPr>
            <w:tcW w:type="dxa" w:w="4986"/>
          </w:tcPr>
          <w:p>
            <w:r>
              <w:rPr>
                <w:rFonts w:ascii="맑은 고딕" w:hAnsi="맑은 고딕" w:eastAsia="맑은 고딕"/>
              </w:rPr>
              <w:t>랜딩과 실제 도구 분리, 축·도구 설명·오류·결측·관측일·면책 표시</w:t>
            </w:r>
          </w:p>
        </w:tc>
      </w:tr>
    </w:tbl>
    <w:p>
      <w:pPr>
        <w:pStyle w:val="Heading1"/>
      </w:pPr>
      <w:r>
        <w:rPr>
          <w:rFonts w:ascii="맑은 고딕" w:hAnsi="맑은 고딕" w:eastAsia="맑은 고딕"/>
          <w:b w:val="0"/>
        </w:rPr>
        <w:t>7. 시연 링크와 발표 순서</w:t>
      </w:r>
    </w:p>
    <w:p>
      <w:r>
        <w:rPr>
          <w:rFonts w:ascii="맑은 고딕" w:hAnsi="맑은 고딕" w:eastAsia="맑은 고딕"/>
          <w:b w:val="0"/>
        </w:rPr>
        <w:t>랜딩 페이지: http://localhost:4182/mulsallim.html</w:t>
      </w:r>
    </w:p>
    <w:p>
      <w:r>
        <w:rPr>
          <w:rFonts w:ascii="맑은 고딕" w:hAnsi="맑은 고딕" w:eastAsia="맑은 고딕"/>
          <w:b w:val="0"/>
        </w:rPr>
        <w:t>실제 대시보드: http://localhost:4182/mulsallim-dashboard.html</w:t>
      </w:r>
    </w:p>
    <w:p>
      <w:pPr>
        <w:pStyle w:val="ListNumber"/>
      </w:pPr>
      <w:r>
        <w:rPr>
          <w:rFonts w:ascii="맑은 고딕" w:hAnsi="맑은 고딕" w:eastAsia="맑은 고딕"/>
        </w:rPr>
        <w:t>랜딩에서 목적과 핵심 기능을 소개한다.</w:t>
      </w:r>
    </w:p>
    <w:p>
      <w:pPr>
        <w:pStyle w:val="ListNumber"/>
      </w:pPr>
      <w:r>
        <w:rPr>
          <w:rFonts w:ascii="맑은 고딕" w:hAnsi="맑은 고딕" w:eastAsia="맑은 고딕"/>
        </w:rPr>
        <w:t>지역을 고르고 저수지를 선택한다.</w:t>
      </w:r>
    </w:p>
    <w:p>
      <w:pPr>
        <w:pStyle w:val="ListNumber"/>
      </w:pPr>
      <w:r>
        <w:rPr>
          <w:rFonts w:ascii="맑은 고딕" w:hAnsi="맑은 고딕" w:eastAsia="맑은 고딕"/>
        </w:rPr>
        <w:t>추세 그래프와 위험 근거를 확인한다.</w:t>
      </w:r>
    </w:p>
    <w:p>
      <w:pPr>
        <w:pStyle w:val="ListNumber"/>
      </w:pPr>
      <w:r>
        <w:rPr>
          <w:rFonts w:ascii="맑은 고딕" w:hAnsi="맑은 고딕" w:eastAsia="맑은 고딕"/>
        </w:rPr>
        <w:t>동일 지역 비교와 절수 시나리오를 제시한다.</w:t>
      </w:r>
    </w:p>
    <w:p>
      <w:pPr>
        <w:pStyle w:val="ListNumber"/>
      </w:pPr>
      <w:r>
        <w:rPr>
          <w:rFonts w:ascii="맑은 고딕" w:hAnsi="맑은 고딕" w:eastAsia="맑은 고딕"/>
        </w:rPr>
        <w:t>모델 검증 결과와 배포 제외 근거를 설명한다.</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