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Mountain West Handicapping Attack Plan</w:t>
      </w:r>
    </w:p>
    <w:p>
      <w:pPr>
        <w:spacing w:after="40"/>
      </w:pPr>
      <w:r>
        <w:rPr>
          <w:i/>
          <w:iCs/>
          <w:color w:val="555555"/>
          <w:sz w:val="24"/>
          <w:szCs w:val="24"/>
        </w:rPr>
        <w:t xml:space="preserve">2026 Season — Data, Modeling &amp; Backtesting Roadmap</w:t>
      </w:r>
    </w:p>
    <w:p>
      <w:pPr>
        <w:pBdr>
          <w:bottom w:val="single" w:color="AAAAAA" w:sz="6" w:space="8"/>
        </w:pBdr>
        <w:spacing w:after="320"/>
      </w:pPr>
      <w:r>
        <w:rPr>
          <w:color w:val="777777"/>
          <w:sz w:val="20"/>
          <w:szCs w:val="20"/>
        </w:rPr>
        <w:t xml:space="preserve">Prepared for Cole  •  August 2026</w:t>
      </w:r>
    </w:p>
    <w:p>
      <w:pPr>
        <w:pStyle w:val="Heading1"/>
        <w:spacing w:after="160" w:before="360"/>
      </w:pPr>
      <w:r>
        <w:t xml:space="preserve">Executive Summary — "What's the best measure?"</w:t>
      </w:r>
    </w:p>
    <w:p>
      <w:pPr>
        <w:spacing w:after="160"/>
      </w:pPr>
      <w:r>
        <w:t xml:space="preserve">You asked point-blank what the best single measure is, so here's the direct answer before the rest of the plan: there is no one magic stat, but if forced to rank a single number as most predictive of what happens against the spread, it is opponent-adjusted efficiency margin — approximated by EPA per play (CollegeFootballData calls this PPA, predicted points added), split by offense vs. defense and further split by rush/pass and down-and-distance situation (standard downs vs. passing downs, red zone). That number tracks next-week performance and market lines more tightly than raw yards, raw scoring margin, or win-loss record, because it strips out garbage-time snaps and lucky bounces that inflate box scores.</w:t>
      </w:r>
    </w:p>
    <w:p>
      <w:pPr>
        <w:spacing w:after="160"/>
      </w:pPr>
      <w:r>
        <w:t xml:space="preserve">Bill Connelly's SP+ is a strong public proxy for the same underlying idea and is worth pulling in as a second opinion to blend against your own number rather than reinventing from scratch. Below efficiency, recruiting talent composite (247Sports/On3) is the best available prior for any team with a thin sample — which this year is roughly half the league, for reasons the next section explains. Finally, and most importantly for a betting model specifically: the number that actually matters is not the power rating itself, it is the gap between your model's predicted line and the market's closing line, tracked over time (closing line value, or CLV). That gap — not win/loss record in isolation — is how you'll know whether any of this is actually working before you've staked enough money to find out the hard way.</w:t>
      </w:r>
    </w:p>
    <w:p>
      <w:pPr>
        <w:pStyle w:val="Heading1"/>
        <w:spacing w:after="160" w:before="360"/>
      </w:pPr>
      <w:r>
        <w:t xml:space="preserve">1. The 2026 Realignment Problem</w:t>
      </w:r>
    </w:p>
    <w:p>
      <w:pPr>
        <w:spacing w:after="160"/>
      </w:pPr>
      <w:r>
        <w:t xml:space="preserve">Before any data work starts, the Mountain West you're handicapping this year is structurally different from the Mountain West of any prior season, and that has to shape the data strategy from day one. Boise State, Colorado State, Fresno State, San Diego State, and Utah State departed for the rebuilt Pac-12. The conference backfilled with UTEP (from Conference USA), Northern Illinois (from the MAC), and North Dakota State (an FCS blue-blood moving up to the FBS level). The 2026 Mountain West is a 10-team league: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600"/>
      </w:tblGrid>
      <w:tr>
        <w:trPr>
          <w:tblHeader/>
        </w:trPr>
        <w:tc>
          <w:tcPr>
            <w:tcW w:type="dxa" w:w="2400"/>
            <w:shd w:fill="D9E2F3" w:val="clear"/>
            <w:tcMar>
              <w:top w:type="dxa" w:w="80"/>
              <w:left w:type="dxa" w:w="100"/>
              <w:bottom w:type="dxa" w:w="80"/>
              <w:right w:type="dxa" w:w="100"/>
            </w:tcMar>
          </w:tcPr>
          <w:p>
            <w:r>
              <w:rPr>
                <w:b/>
                <w:bCs/>
                <w:sz w:val="20"/>
                <w:szCs w:val="20"/>
              </w:rPr>
              <w:t xml:space="preserve">Team</w:t>
            </w:r>
          </w:p>
        </w:tc>
        <w:tc>
          <w:tcPr>
            <w:tcW w:type="dxa" w:w="2600"/>
            <w:shd w:fill="D9E2F3" w:val="clear"/>
            <w:tcMar>
              <w:top w:type="dxa" w:w="80"/>
              <w:left w:type="dxa" w:w="100"/>
              <w:bottom w:type="dxa" w:w="80"/>
              <w:right w:type="dxa" w:w="100"/>
            </w:tcMar>
          </w:tcPr>
          <w:p>
            <w:r>
              <w:rPr>
                <w:b/>
                <w:bCs/>
                <w:sz w:val="20"/>
                <w:szCs w:val="20"/>
              </w:rPr>
              <w:t xml:space="preserve">Prior conference / level</w:t>
            </w:r>
          </w:p>
        </w:tc>
        <w:tc>
          <w:tcPr>
            <w:tcW w:type="dxa" w:w="4600"/>
            <w:shd w:fill="D9E2F3" w:val="clear"/>
            <w:tcMar>
              <w:top w:type="dxa" w:w="80"/>
              <w:left w:type="dxa" w:w="100"/>
              <w:bottom w:type="dxa" w:w="80"/>
              <w:right w:type="dxa" w:w="100"/>
            </w:tcMar>
          </w:tcPr>
          <w:p>
            <w:r>
              <w:rPr>
                <w:b/>
                <w:bCs/>
                <w:sz w:val="20"/>
                <w:szCs w:val="20"/>
              </w:rPr>
              <w:t xml:space="preserve">Note for modeling</w:t>
            </w:r>
          </w:p>
        </w:tc>
      </w:tr>
      <w:tr>
        <w:tc>
          <w:tcPr>
            <w:tcW w:type="dxa" w:w="2400"/>
            <w:tcMar>
              <w:top w:type="dxa" w:w="80"/>
              <w:left w:type="dxa" w:w="100"/>
              <w:bottom w:type="dxa" w:w="80"/>
              <w:right w:type="dxa" w:w="100"/>
            </w:tcMar>
          </w:tcPr>
          <w:p>
            <w:r>
              <w:rPr>
                <w:b w:val="false"/>
                <w:bCs w:val="false"/>
                <w:sz w:val="20"/>
                <w:szCs w:val="20"/>
              </w:rPr>
              <w:t xml:space="preserve">Air Force</w:t>
            </w:r>
          </w:p>
        </w:tc>
        <w:tc>
          <w:tcPr>
            <w:tcW w:type="dxa" w:w="2600"/>
            <w:tcMar>
              <w:top w:type="dxa" w:w="80"/>
              <w:left w:type="dxa" w:w="100"/>
              <w:bottom w:type="dxa" w:w="80"/>
              <w:right w:type="dxa" w:w="100"/>
            </w:tcMar>
          </w:tcPr>
          <w:p>
            <w:r>
              <w:rPr>
                <w:b w:val="false"/>
                <w:bCs w:val="false"/>
                <w:sz w:val="20"/>
                <w:szCs w:val="20"/>
              </w:rPr>
              <w:t xml:space="preserve">Mountain West (continuing)</w:t>
            </w:r>
          </w:p>
        </w:tc>
        <w:tc>
          <w:tcPr>
            <w:tcW w:type="dxa" w:w="4600"/>
            <w:tcMar>
              <w:top w:type="dxa" w:w="80"/>
              <w:left w:type="dxa" w:w="100"/>
              <w:bottom w:type="dxa" w:w="80"/>
              <w:right w:type="dxa" w:w="100"/>
            </w:tcMar>
          </w:tcPr>
          <w:p>
            <w:r>
              <w:rPr>
                <w:b w:val="false"/>
                <w:bCs w:val="false"/>
                <w:sz w:val="20"/>
                <w:szCs w:val="20"/>
              </w:rPr>
              <w:t xml:space="preserve">Full MW history available; option/altitude profile</w:t>
            </w:r>
          </w:p>
        </w:tc>
      </w:tr>
      <w:tr>
        <w:tc>
          <w:tcPr>
            <w:tcW w:type="dxa" w:w="2400"/>
            <w:tcMar>
              <w:top w:type="dxa" w:w="80"/>
              <w:left w:type="dxa" w:w="100"/>
              <w:bottom w:type="dxa" w:w="80"/>
              <w:right w:type="dxa" w:w="100"/>
            </w:tcMar>
          </w:tcPr>
          <w:p>
            <w:r>
              <w:rPr>
                <w:b w:val="false"/>
                <w:bCs w:val="false"/>
                <w:sz w:val="20"/>
                <w:szCs w:val="20"/>
              </w:rPr>
              <w:t xml:space="preserve">Hawai'i</w:t>
            </w:r>
          </w:p>
        </w:tc>
        <w:tc>
          <w:tcPr>
            <w:tcW w:type="dxa" w:w="2600"/>
            <w:tcMar>
              <w:top w:type="dxa" w:w="80"/>
              <w:left w:type="dxa" w:w="100"/>
              <w:bottom w:type="dxa" w:w="80"/>
              <w:right w:type="dxa" w:w="100"/>
            </w:tcMar>
          </w:tcPr>
          <w:p>
            <w:r>
              <w:rPr>
                <w:b w:val="false"/>
                <w:bCs w:val="false"/>
                <w:sz w:val="20"/>
                <w:szCs w:val="20"/>
              </w:rPr>
              <w:t xml:space="preserve">Mountain West (continuing)</w:t>
            </w:r>
          </w:p>
        </w:tc>
        <w:tc>
          <w:tcPr>
            <w:tcW w:type="dxa" w:w="4600"/>
            <w:tcMar>
              <w:top w:type="dxa" w:w="80"/>
              <w:left w:type="dxa" w:w="100"/>
              <w:bottom w:type="dxa" w:w="80"/>
              <w:right w:type="dxa" w:w="100"/>
            </w:tcMar>
          </w:tcPr>
          <w:p>
            <w:r>
              <w:rPr>
                <w:b w:val="false"/>
                <w:bCs w:val="false"/>
                <w:sz w:val="20"/>
                <w:szCs w:val="20"/>
              </w:rPr>
              <w:t xml:space="preserve">Full history; travel/time-zone is a real situational factor</w:t>
            </w:r>
          </w:p>
        </w:tc>
      </w:tr>
      <w:tr>
        <w:tc>
          <w:tcPr>
            <w:tcW w:type="dxa" w:w="2400"/>
            <w:tcMar>
              <w:top w:type="dxa" w:w="80"/>
              <w:left w:type="dxa" w:w="100"/>
              <w:bottom w:type="dxa" w:w="80"/>
              <w:right w:type="dxa" w:w="100"/>
            </w:tcMar>
          </w:tcPr>
          <w:p>
            <w:r>
              <w:rPr>
                <w:b w:val="false"/>
                <w:bCs w:val="false"/>
                <w:sz w:val="20"/>
                <w:szCs w:val="20"/>
              </w:rPr>
              <w:t xml:space="preserve">Nevada</w:t>
            </w:r>
          </w:p>
        </w:tc>
        <w:tc>
          <w:tcPr>
            <w:tcW w:type="dxa" w:w="2600"/>
            <w:tcMar>
              <w:top w:type="dxa" w:w="80"/>
              <w:left w:type="dxa" w:w="100"/>
              <w:bottom w:type="dxa" w:w="80"/>
              <w:right w:type="dxa" w:w="100"/>
            </w:tcMar>
          </w:tcPr>
          <w:p>
            <w:r>
              <w:rPr>
                <w:b w:val="false"/>
                <w:bCs w:val="false"/>
                <w:sz w:val="20"/>
                <w:szCs w:val="20"/>
              </w:rPr>
              <w:t xml:space="preserve">Mountain West (continuing)</w:t>
            </w:r>
          </w:p>
        </w:tc>
        <w:tc>
          <w:tcPr>
            <w:tcW w:type="dxa" w:w="4600"/>
            <w:tcMar>
              <w:top w:type="dxa" w:w="80"/>
              <w:left w:type="dxa" w:w="100"/>
              <w:bottom w:type="dxa" w:w="80"/>
              <w:right w:type="dxa" w:w="100"/>
            </w:tcMar>
          </w:tcPr>
          <w:p>
            <w:r>
              <w:rPr>
                <w:b w:val="false"/>
                <w:bCs w:val="false"/>
                <w:sz w:val="20"/>
                <w:szCs w:val="20"/>
              </w:rPr>
              <w:t xml:space="preserve">Full history available</w:t>
            </w:r>
          </w:p>
        </w:tc>
      </w:tr>
      <w:tr>
        <w:tc>
          <w:tcPr>
            <w:tcW w:type="dxa" w:w="2400"/>
            <w:tcMar>
              <w:top w:type="dxa" w:w="80"/>
              <w:left w:type="dxa" w:w="100"/>
              <w:bottom w:type="dxa" w:w="80"/>
              <w:right w:type="dxa" w:w="100"/>
            </w:tcMar>
          </w:tcPr>
          <w:p>
            <w:r>
              <w:rPr>
                <w:b w:val="false"/>
                <w:bCs w:val="false"/>
                <w:sz w:val="20"/>
                <w:szCs w:val="20"/>
              </w:rPr>
              <w:t xml:space="preserve">New Mexico</w:t>
            </w:r>
          </w:p>
        </w:tc>
        <w:tc>
          <w:tcPr>
            <w:tcW w:type="dxa" w:w="2600"/>
            <w:tcMar>
              <w:top w:type="dxa" w:w="80"/>
              <w:left w:type="dxa" w:w="100"/>
              <w:bottom w:type="dxa" w:w="80"/>
              <w:right w:type="dxa" w:w="100"/>
            </w:tcMar>
          </w:tcPr>
          <w:p>
            <w:r>
              <w:rPr>
                <w:b w:val="false"/>
                <w:bCs w:val="false"/>
                <w:sz w:val="20"/>
                <w:szCs w:val="20"/>
              </w:rPr>
              <w:t xml:space="preserve">Mountain West (continuing)</w:t>
            </w:r>
          </w:p>
        </w:tc>
        <w:tc>
          <w:tcPr>
            <w:tcW w:type="dxa" w:w="4600"/>
            <w:tcMar>
              <w:top w:type="dxa" w:w="80"/>
              <w:left w:type="dxa" w:w="100"/>
              <w:bottom w:type="dxa" w:w="80"/>
              <w:right w:type="dxa" w:w="100"/>
            </w:tcMar>
          </w:tcPr>
          <w:p>
            <w:r>
              <w:rPr>
                <w:b w:val="false"/>
                <w:bCs w:val="false"/>
                <w:sz w:val="20"/>
                <w:szCs w:val="20"/>
              </w:rPr>
              <w:t xml:space="preserve">Full history; elevation ~5,000 ft</w:t>
            </w:r>
          </w:p>
        </w:tc>
      </w:tr>
      <w:tr>
        <w:tc>
          <w:tcPr>
            <w:tcW w:type="dxa" w:w="2400"/>
            <w:tcMar>
              <w:top w:type="dxa" w:w="80"/>
              <w:left w:type="dxa" w:w="100"/>
              <w:bottom w:type="dxa" w:w="80"/>
              <w:right w:type="dxa" w:w="100"/>
            </w:tcMar>
          </w:tcPr>
          <w:p>
            <w:r>
              <w:rPr>
                <w:b w:val="false"/>
                <w:bCs w:val="false"/>
                <w:sz w:val="20"/>
                <w:szCs w:val="20"/>
              </w:rPr>
              <w:t xml:space="preserve">North Dakota State</w:t>
            </w:r>
          </w:p>
        </w:tc>
        <w:tc>
          <w:tcPr>
            <w:tcW w:type="dxa" w:w="2600"/>
            <w:tcMar>
              <w:top w:type="dxa" w:w="80"/>
              <w:left w:type="dxa" w:w="100"/>
              <w:bottom w:type="dxa" w:w="80"/>
              <w:right w:type="dxa" w:w="100"/>
            </w:tcMar>
          </w:tcPr>
          <w:p>
            <w:r>
              <w:rPr>
                <w:b w:val="false"/>
                <w:bCs w:val="false"/>
                <w:sz w:val="20"/>
                <w:szCs w:val="20"/>
              </w:rPr>
              <w:t xml:space="preserve">FCS (moving up)</w:t>
            </w:r>
          </w:p>
        </w:tc>
        <w:tc>
          <w:tcPr>
            <w:tcW w:type="dxa" w:w="4600"/>
            <w:tcMar>
              <w:top w:type="dxa" w:w="80"/>
              <w:left w:type="dxa" w:w="100"/>
              <w:bottom w:type="dxa" w:w="80"/>
              <w:right w:type="dxa" w:w="100"/>
            </w:tcMar>
          </w:tcPr>
          <w:p>
            <w:r>
              <w:rPr>
                <w:b w:val="false"/>
                <w:bCs w:val="false"/>
                <w:sz w:val="20"/>
                <w:szCs w:val="20"/>
              </w:rPr>
              <w:t xml:space="preserve">Zero FBS history — treat as a genuine unknown, likely mispriced by the market</w:t>
            </w:r>
          </w:p>
        </w:tc>
      </w:tr>
      <w:tr>
        <w:tc>
          <w:tcPr>
            <w:tcW w:type="dxa" w:w="2400"/>
            <w:tcMar>
              <w:top w:type="dxa" w:w="80"/>
              <w:left w:type="dxa" w:w="100"/>
              <w:bottom w:type="dxa" w:w="80"/>
              <w:right w:type="dxa" w:w="100"/>
            </w:tcMar>
          </w:tcPr>
          <w:p>
            <w:r>
              <w:rPr>
                <w:b w:val="false"/>
                <w:bCs w:val="false"/>
                <w:sz w:val="20"/>
                <w:szCs w:val="20"/>
              </w:rPr>
              <w:t xml:space="preserve">Northern Illinois</w:t>
            </w:r>
          </w:p>
        </w:tc>
        <w:tc>
          <w:tcPr>
            <w:tcW w:type="dxa" w:w="2600"/>
            <w:tcMar>
              <w:top w:type="dxa" w:w="80"/>
              <w:left w:type="dxa" w:w="100"/>
              <w:bottom w:type="dxa" w:w="80"/>
              <w:right w:type="dxa" w:w="100"/>
            </w:tcMar>
          </w:tcPr>
          <w:p>
            <w:r>
              <w:rPr>
                <w:b w:val="false"/>
                <w:bCs w:val="false"/>
                <w:sz w:val="20"/>
                <w:szCs w:val="20"/>
              </w:rPr>
              <w:t xml:space="preserve">MAC</w:t>
            </w:r>
          </w:p>
        </w:tc>
        <w:tc>
          <w:tcPr>
            <w:tcW w:type="dxa" w:w="4600"/>
            <w:tcMar>
              <w:top w:type="dxa" w:w="80"/>
              <w:left w:type="dxa" w:w="100"/>
              <w:bottom w:type="dxa" w:w="80"/>
              <w:right w:type="dxa" w:w="100"/>
            </w:tcMar>
          </w:tcPr>
          <w:p>
            <w:r>
              <w:rPr>
                <w:b w:val="false"/>
                <w:bCs w:val="false"/>
                <w:sz w:val="20"/>
                <w:szCs w:val="20"/>
              </w:rPr>
              <w:t xml:space="preserve">No MW history; bring full MAC-era game log for ratings</w:t>
            </w:r>
          </w:p>
        </w:tc>
      </w:tr>
      <w:tr>
        <w:tc>
          <w:tcPr>
            <w:tcW w:type="dxa" w:w="2400"/>
            <w:tcMar>
              <w:top w:type="dxa" w:w="80"/>
              <w:left w:type="dxa" w:w="100"/>
              <w:bottom w:type="dxa" w:w="80"/>
              <w:right w:type="dxa" w:w="100"/>
            </w:tcMar>
          </w:tcPr>
          <w:p>
            <w:r>
              <w:rPr>
                <w:b w:val="false"/>
                <w:bCs w:val="false"/>
                <w:sz w:val="20"/>
                <w:szCs w:val="20"/>
              </w:rPr>
              <w:t xml:space="preserve">San Jose State</w:t>
            </w:r>
          </w:p>
        </w:tc>
        <w:tc>
          <w:tcPr>
            <w:tcW w:type="dxa" w:w="2600"/>
            <w:tcMar>
              <w:top w:type="dxa" w:w="80"/>
              <w:left w:type="dxa" w:w="100"/>
              <w:bottom w:type="dxa" w:w="80"/>
              <w:right w:type="dxa" w:w="100"/>
            </w:tcMar>
          </w:tcPr>
          <w:p>
            <w:r>
              <w:rPr>
                <w:b w:val="false"/>
                <w:bCs w:val="false"/>
                <w:sz w:val="20"/>
                <w:szCs w:val="20"/>
              </w:rPr>
              <w:t xml:space="preserve">Mountain West (continuing)</w:t>
            </w:r>
          </w:p>
        </w:tc>
        <w:tc>
          <w:tcPr>
            <w:tcW w:type="dxa" w:w="4600"/>
            <w:tcMar>
              <w:top w:type="dxa" w:w="80"/>
              <w:left w:type="dxa" w:w="100"/>
              <w:bottom w:type="dxa" w:w="80"/>
              <w:right w:type="dxa" w:w="100"/>
            </w:tcMar>
          </w:tcPr>
          <w:p>
            <w:r>
              <w:rPr>
                <w:b w:val="false"/>
                <w:bCs w:val="false"/>
                <w:sz w:val="20"/>
                <w:szCs w:val="20"/>
              </w:rPr>
              <w:t xml:space="preserve">Full history available</w:t>
            </w:r>
          </w:p>
        </w:tc>
      </w:tr>
      <w:tr>
        <w:tc>
          <w:tcPr>
            <w:tcW w:type="dxa" w:w="2400"/>
            <w:tcMar>
              <w:top w:type="dxa" w:w="80"/>
              <w:left w:type="dxa" w:w="100"/>
              <w:bottom w:type="dxa" w:w="80"/>
              <w:right w:type="dxa" w:w="100"/>
            </w:tcMar>
          </w:tcPr>
          <w:p>
            <w:r>
              <w:rPr>
                <w:b w:val="false"/>
                <w:bCs w:val="false"/>
                <w:sz w:val="20"/>
                <w:szCs w:val="20"/>
              </w:rPr>
              <w:t xml:space="preserve">UNLV</w:t>
            </w:r>
          </w:p>
        </w:tc>
        <w:tc>
          <w:tcPr>
            <w:tcW w:type="dxa" w:w="2600"/>
            <w:tcMar>
              <w:top w:type="dxa" w:w="80"/>
              <w:left w:type="dxa" w:w="100"/>
              <w:bottom w:type="dxa" w:w="80"/>
              <w:right w:type="dxa" w:w="100"/>
            </w:tcMar>
          </w:tcPr>
          <w:p>
            <w:r>
              <w:rPr>
                <w:b w:val="false"/>
                <w:bCs w:val="false"/>
                <w:sz w:val="20"/>
                <w:szCs w:val="20"/>
              </w:rPr>
              <w:t xml:space="preserve">Mountain West (continuing)</w:t>
            </w:r>
          </w:p>
        </w:tc>
        <w:tc>
          <w:tcPr>
            <w:tcW w:type="dxa" w:w="4600"/>
            <w:tcMar>
              <w:top w:type="dxa" w:w="80"/>
              <w:left w:type="dxa" w:w="100"/>
              <w:bottom w:type="dxa" w:w="80"/>
              <w:right w:type="dxa" w:w="100"/>
            </w:tcMar>
          </w:tcPr>
          <w:p>
            <w:r>
              <w:rPr>
                <w:b w:val="false"/>
                <w:bCs w:val="false"/>
                <w:sz w:val="20"/>
                <w:szCs w:val="20"/>
              </w:rPr>
              <w:t xml:space="preserve">Full history available</w:t>
            </w:r>
          </w:p>
        </w:tc>
      </w:tr>
      <w:tr>
        <w:tc>
          <w:tcPr>
            <w:tcW w:type="dxa" w:w="2400"/>
            <w:tcMar>
              <w:top w:type="dxa" w:w="80"/>
              <w:left w:type="dxa" w:w="100"/>
              <w:bottom w:type="dxa" w:w="80"/>
              <w:right w:type="dxa" w:w="100"/>
            </w:tcMar>
          </w:tcPr>
          <w:p>
            <w:r>
              <w:rPr>
                <w:b w:val="false"/>
                <w:bCs w:val="false"/>
                <w:sz w:val="20"/>
                <w:szCs w:val="20"/>
              </w:rPr>
              <w:t xml:space="preserve">UTEP</w:t>
            </w:r>
          </w:p>
        </w:tc>
        <w:tc>
          <w:tcPr>
            <w:tcW w:type="dxa" w:w="2600"/>
            <w:tcMar>
              <w:top w:type="dxa" w:w="80"/>
              <w:left w:type="dxa" w:w="100"/>
              <w:bottom w:type="dxa" w:w="80"/>
              <w:right w:type="dxa" w:w="100"/>
            </w:tcMar>
          </w:tcPr>
          <w:p>
            <w:r>
              <w:rPr>
                <w:b w:val="false"/>
                <w:bCs w:val="false"/>
                <w:sz w:val="20"/>
                <w:szCs w:val="20"/>
              </w:rPr>
              <w:t xml:space="preserve">Conference USA</w:t>
            </w:r>
          </w:p>
        </w:tc>
        <w:tc>
          <w:tcPr>
            <w:tcW w:type="dxa" w:w="4600"/>
            <w:tcMar>
              <w:top w:type="dxa" w:w="80"/>
              <w:left w:type="dxa" w:w="100"/>
              <w:bottom w:type="dxa" w:w="80"/>
              <w:right w:type="dxa" w:w="100"/>
            </w:tcMar>
          </w:tcPr>
          <w:p>
            <w:r>
              <w:rPr>
                <w:b w:val="false"/>
                <w:bCs w:val="false"/>
                <w:sz w:val="20"/>
                <w:szCs w:val="20"/>
              </w:rPr>
              <w:t xml:space="preserve">No MW history; bring full C-USA-era game log for ratings</w:t>
            </w:r>
          </w:p>
        </w:tc>
      </w:tr>
      <w:tr>
        <w:tc>
          <w:tcPr>
            <w:tcW w:type="dxa" w:w="2400"/>
            <w:tcMar>
              <w:top w:type="dxa" w:w="80"/>
              <w:left w:type="dxa" w:w="100"/>
              <w:bottom w:type="dxa" w:w="80"/>
              <w:right w:type="dxa" w:w="100"/>
            </w:tcMar>
          </w:tcPr>
          <w:p>
            <w:r>
              <w:rPr>
                <w:b w:val="false"/>
                <w:bCs w:val="false"/>
                <w:sz w:val="20"/>
                <w:szCs w:val="20"/>
              </w:rPr>
              <w:t xml:space="preserve">Wyoming</w:t>
            </w:r>
          </w:p>
        </w:tc>
        <w:tc>
          <w:tcPr>
            <w:tcW w:type="dxa" w:w="2600"/>
            <w:tcMar>
              <w:top w:type="dxa" w:w="80"/>
              <w:left w:type="dxa" w:w="100"/>
              <w:bottom w:type="dxa" w:w="80"/>
              <w:right w:type="dxa" w:w="100"/>
            </w:tcMar>
          </w:tcPr>
          <w:p>
            <w:r>
              <w:rPr>
                <w:b w:val="false"/>
                <w:bCs w:val="false"/>
                <w:sz w:val="20"/>
                <w:szCs w:val="20"/>
              </w:rPr>
              <w:t xml:space="preserve">Mountain West (continuing)</w:t>
            </w:r>
          </w:p>
        </w:tc>
        <w:tc>
          <w:tcPr>
            <w:tcW w:type="dxa" w:w="4600"/>
            <w:tcMar>
              <w:top w:type="dxa" w:w="80"/>
              <w:left w:type="dxa" w:w="100"/>
              <w:bottom w:type="dxa" w:w="80"/>
              <w:right w:type="dxa" w:w="100"/>
            </w:tcMar>
          </w:tcPr>
          <w:p>
            <w:r>
              <w:rPr>
                <w:b w:val="false"/>
                <w:bCs w:val="false"/>
                <w:sz w:val="20"/>
                <w:szCs w:val="20"/>
              </w:rPr>
              <w:t xml:space="preserve">Full history; elevation ~7,200 ft, coldest venue in the league</w:t>
            </w:r>
          </w:p>
        </w:tc>
      </w:tr>
    </w:tbl>
    <w:p>
      <w:pPr>
        <w:spacing w:after="160"/>
      </w:pPr>
      <w:r>
        <w:t xml:space="preserve"/>
      </w:r>
    </w:p>
    <w:p>
      <w:pPr>
        <w:spacing w:after="160"/>
      </w:pPr>
      <w:r>
        <w:t xml:space="preserve">The practical implication: three of the ten teams have literally zero Mountain West conference-game history, and a fourth (North Dakota State) has zero FBS history of any kind. A model trained only on "MW vs. MW" historical games would effectively know nothing about 30–40% of this year's matchups. The fix is to build team-agnostic power ratings from every FBS (and, for NDSU, FCS) game each team has played — not just conference games — so a newcomer's full schedule history feeds the rating the moment it joins. This also means North Dakota State, historically one of the most dominant programs in FCS, is a strong candidate for market mispricing in year one: books and public bettors have far less reference data on it than they do on a normal FBS team, which is exactly the kind of gap a properly built model can exploit before the market catches up over the season.</w:t>
      </w:r>
    </w:p>
    <w:p>
      <w:pPr>
        <w:pStyle w:val="Heading1"/>
        <w:spacing w:after="160" w:before="360"/>
      </w:pPr>
      <w:r>
        <w:t xml:space="preserve">2. Recommended Predictive Measures</w:t>
      </w:r>
    </w:p>
    <w:p>
      <w:pPr>
        <w:spacing w:after="160"/>
      </w:pPr>
      <w:r>
        <w:t xml:space="preserve">A composite beats any single input. Here is how I'd rank and combine the available measures, roughly in order of how much weight each should carry in the model: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200"/>
      </w:tblGrid>
      <w:tr>
        <w:trPr>
          <w:tblHeader/>
        </w:trPr>
        <w:tc>
          <w:tcPr>
            <w:tcW w:type="dxa" w:w="3000"/>
            <w:shd w:fill="D9E2F3" w:val="clear"/>
            <w:tcMar>
              <w:top w:type="dxa" w:w="80"/>
              <w:left w:type="dxa" w:w="100"/>
              <w:bottom w:type="dxa" w:w="80"/>
              <w:right w:type="dxa" w:w="100"/>
            </w:tcMar>
          </w:tcPr>
          <w:p>
            <w:r>
              <w:rPr>
                <w:b/>
                <w:bCs/>
                <w:sz w:val="20"/>
                <w:szCs w:val="20"/>
              </w:rPr>
              <w:t xml:space="preserve">Measure</w:t>
            </w:r>
          </w:p>
        </w:tc>
        <w:tc>
          <w:tcPr>
            <w:tcW w:type="dxa" w:w="3400"/>
            <w:shd w:fill="D9E2F3" w:val="clear"/>
            <w:tcMar>
              <w:top w:type="dxa" w:w="80"/>
              <w:left w:type="dxa" w:w="100"/>
              <w:bottom w:type="dxa" w:w="80"/>
              <w:right w:type="dxa" w:w="100"/>
            </w:tcMar>
          </w:tcPr>
          <w:p>
            <w:r>
              <w:rPr>
                <w:b/>
                <w:bCs/>
                <w:sz w:val="20"/>
                <w:szCs w:val="20"/>
              </w:rPr>
              <w:t xml:space="preserve">What it captures</w:t>
            </w:r>
          </w:p>
        </w:tc>
        <w:tc>
          <w:tcPr>
            <w:tcW w:type="dxa" w:w="3200"/>
            <w:shd w:fill="D9E2F3" w:val="clear"/>
            <w:tcMar>
              <w:top w:type="dxa" w:w="80"/>
              <w:left w:type="dxa" w:w="100"/>
              <w:bottom w:type="dxa" w:w="80"/>
              <w:right w:type="dxa" w:w="100"/>
            </w:tcMar>
          </w:tcPr>
          <w:p>
            <w:r>
              <w:rPr>
                <w:b/>
                <w:bCs/>
                <w:sz w:val="20"/>
                <w:szCs w:val="20"/>
              </w:rPr>
              <w:t xml:space="preserve">Where it fits</w:t>
            </w:r>
          </w:p>
        </w:tc>
      </w:tr>
      <w:tr>
        <w:tc>
          <w:tcPr>
            <w:tcW w:type="dxa" w:w="3000"/>
            <w:tcMar>
              <w:top w:type="dxa" w:w="80"/>
              <w:left w:type="dxa" w:w="100"/>
              <w:bottom w:type="dxa" w:w="80"/>
              <w:right w:type="dxa" w:w="100"/>
            </w:tcMar>
          </w:tcPr>
          <w:p>
            <w:r>
              <w:rPr>
                <w:b w:val="false"/>
                <w:bCs w:val="false"/>
                <w:sz w:val="20"/>
                <w:szCs w:val="20"/>
              </w:rPr>
              <w:t xml:space="preserve">EPA/play (PPA), off. &amp; def., opponent-adjusted</w:t>
            </w:r>
          </w:p>
        </w:tc>
        <w:tc>
          <w:tcPr>
            <w:tcW w:type="dxa" w:w="3400"/>
            <w:tcMar>
              <w:top w:type="dxa" w:w="80"/>
              <w:left w:type="dxa" w:w="100"/>
              <w:bottom w:type="dxa" w:w="80"/>
              <w:right w:type="dxa" w:w="100"/>
            </w:tcMar>
          </w:tcPr>
          <w:p>
            <w:r>
              <w:rPr>
                <w:b w:val="false"/>
                <w:bCs w:val="false"/>
                <w:sz w:val="20"/>
                <w:szCs w:val="20"/>
              </w:rPr>
              <w:t xml:space="preserve">Per-play efficiency stripped of garbage time and variance</w:t>
            </w:r>
          </w:p>
        </w:tc>
        <w:tc>
          <w:tcPr>
            <w:tcW w:type="dxa" w:w="3200"/>
            <w:tcMar>
              <w:top w:type="dxa" w:w="80"/>
              <w:left w:type="dxa" w:w="100"/>
              <w:bottom w:type="dxa" w:w="80"/>
              <w:right w:type="dxa" w:w="100"/>
            </w:tcMar>
          </w:tcPr>
          <w:p>
            <w:r>
              <w:rPr>
                <w:b w:val="false"/>
                <w:bCs w:val="false"/>
                <w:sz w:val="20"/>
                <w:szCs w:val="20"/>
              </w:rPr>
              <w:t xml:space="preserve">Primary input — core of the power rating</w:t>
            </w:r>
          </w:p>
        </w:tc>
      </w:tr>
      <w:tr>
        <w:tc>
          <w:tcPr>
            <w:tcW w:type="dxa" w:w="3000"/>
            <w:tcMar>
              <w:top w:type="dxa" w:w="80"/>
              <w:left w:type="dxa" w:w="100"/>
              <w:bottom w:type="dxa" w:w="80"/>
              <w:right w:type="dxa" w:w="100"/>
            </w:tcMar>
          </w:tcPr>
          <w:p>
            <w:r>
              <w:rPr>
                <w:b w:val="false"/>
                <w:bCs w:val="false"/>
                <w:sz w:val="20"/>
                <w:szCs w:val="20"/>
              </w:rPr>
              <w:t xml:space="preserve">Success rate &amp; explosiveness (IsoPPP)</w:t>
            </w:r>
          </w:p>
        </w:tc>
        <w:tc>
          <w:tcPr>
            <w:tcW w:type="dxa" w:w="3400"/>
            <w:tcMar>
              <w:top w:type="dxa" w:w="80"/>
              <w:left w:type="dxa" w:w="100"/>
              <w:bottom w:type="dxa" w:w="80"/>
              <w:right w:type="dxa" w:w="100"/>
            </w:tcMar>
          </w:tcPr>
          <w:p>
            <w:r>
              <w:rPr>
                <w:b w:val="false"/>
                <w:bCs w:val="false"/>
                <w:sz w:val="20"/>
                <w:szCs w:val="20"/>
              </w:rPr>
              <w:t xml:space="preserve">Consistency vs. big-play reliance</w:t>
            </w:r>
          </w:p>
        </w:tc>
        <w:tc>
          <w:tcPr>
            <w:tcW w:type="dxa" w:w="3200"/>
            <w:tcMar>
              <w:top w:type="dxa" w:w="80"/>
              <w:left w:type="dxa" w:w="100"/>
              <w:bottom w:type="dxa" w:w="80"/>
              <w:right w:type="dxa" w:w="100"/>
            </w:tcMar>
          </w:tcPr>
          <w:p>
            <w:r>
              <w:rPr>
                <w:b w:val="false"/>
                <w:bCs w:val="false"/>
                <w:sz w:val="20"/>
                <w:szCs w:val="20"/>
              </w:rPr>
              <w:t xml:space="preserve">Secondary features — separates "efficient" from "boom/bust" teams, useful for totals</w:t>
            </w:r>
          </w:p>
        </w:tc>
      </w:tr>
      <w:tr>
        <w:tc>
          <w:tcPr>
            <w:tcW w:type="dxa" w:w="3000"/>
            <w:tcMar>
              <w:top w:type="dxa" w:w="80"/>
              <w:left w:type="dxa" w:w="100"/>
              <w:bottom w:type="dxa" w:w="80"/>
              <w:right w:type="dxa" w:w="100"/>
            </w:tcMar>
          </w:tcPr>
          <w:p>
            <w:r>
              <w:rPr>
                <w:b w:val="false"/>
                <w:bCs w:val="false"/>
                <w:sz w:val="20"/>
                <w:szCs w:val="20"/>
              </w:rPr>
              <w:t xml:space="preserve">SP+ / FPI (external ratings)</w:t>
            </w:r>
          </w:p>
        </w:tc>
        <w:tc>
          <w:tcPr>
            <w:tcW w:type="dxa" w:w="3400"/>
            <w:tcMar>
              <w:top w:type="dxa" w:w="80"/>
              <w:left w:type="dxa" w:w="100"/>
              <w:bottom w:type="dxa" w:w="80"/>
              <w:right w:type="dxa" w:w="100"/>
            </w:tcMar>
          </w:tcPr>
          <w:p>
            <w:r>
              <w:rPr>
                <w:b w:val="false"/>
                <w:bCs w:val="false"/>
                <w:sz w:val="20"/>
                <w:szCs w:val="20"/>
              </w:rPr>
              <w:t xml:space="preserve">Independent, publicly vetted power ratings</w:t>
            </w:r>
          </w:p>
        </w:tc>
        <w:tc>
          <w:tcPr>
            <w:tcW w:type="dxa" w:w="3200"/>
            <w:tcMar>
              <w:top w:type="dxa" w:w="80"/>
              <w:left w:type="dxa" w:w="100"/>
              <w:bottom w:type="dxa" w:w="80"/>
              <w:right w:type="dxa" w:w="100"/>
            </w:tcMar>
          </w:tcPr>
          <w:p>
            <w:r>
              <w:rPr>
                <w:b w:val="false"/>
                <w:bCs w:val="false"/>
                <w:sz w:val="20"/>
                <w:szCs w:val="20"/>
              </w:rPr>
              <w:t xml:space="preserve">Blend/anchor to sanity-check your own model, especially early season</w:t>
            </w:r>
          </w:p>
        </w:tc>
      </w:tr>
      <w:tr>
        <w:tc>
          <w:tcPr>
            <w:tcW w:type="dxa" w:w="3000"/>
            <w:tcMar>
              <w:top w:type="dxa" w:w="80"/>
              <w:left w:type="dxa" w:w="100"/>
              <w:bottom w:type="dxa" w:w="80"/>
              <w:right w:type="dxa" w:w="100"/>
            </w:tcMar>
          </w:tcPr>
          <w:p>
            <w:r>
              <w:rPr>
                <w:b w:val="false"/>
                <w:bCs w:val="false"/>
                <w:sz w:val="20"/>
                <w:szCs w:val="20"/>
              </w:rPr>
              <w:t xml:space="preserve">Recruiting talent composite</w:t>
            </w:r>
          </w:p>
        </w:tc>
        <w:tc>
          <w:tcPr>
            <w:tcW w:type="dxa" w:w="3400"/>
            <w:tcMar>
              <w:top w:type="dxa" w:w="80"/>
              <w:left w:type="dxa" w:w="100"/>
              <w:bottom w:type="dxa" w:w="80"/>
              <w:right w:type="dxa" w:w="100"/>
            </w:tcMar>
          </w:tcPr>
          <w:p>
            <w:r>
              <w:rPr>
                <w:b w:val="false"/>
                <w:bCs w:val="false"/>
                <w:sz w:val="20"/>
                <w:szCs w:val="20"/>
              </w:rPr>
              <w:t xml:space="preserve">Long-run roster quality, stable across coaching turnover</w:t>
            </w:r>
          </w:p>
        </w:tc>
        <w:tc>
          <w:tcPr>
            <w:tcW w:type="dxa" w:w="3200"/>
            <w:tcMar>
              <w:top w:type="dxa" w:w="80"/>
              <w:left w:type="dxa" w:w="100"/>
              <w:bottom w:type="dxa" w:w="80"/>
              <w:right w:type="dxa" w:w="100"/>
            </w:tcMar>
          </w:tcPr>
          <w:p>
            <w:r>
              <w:rPr>
                <w:b w:val="false"/>
                <w:bCs w:val="false"/>
                <w:sz w:val="20"/>
                <w:szCs w:val="20"/>
              </w:rPr>
              <w:t xml:space="preserve">Prior for low-sample teams (NDSU, UTEP, NIU this year)</w:t>
            </w:r>
          </w:p>
        </w:tc>
      </w:tr>
      <w:tr>
        <w:tc>
          <w:tcPr>
            <w:tcW w:type="dxa" w:w="3000"/>
            <w:tcMar>
              <w:top w:type="dxa" w:w="80"/>
              <w:left w:type="dxa" w:w="100"/>
              <w:bottom w:type="dxa" w:w="80"/>
              <w:right w:type="dxa" w:w="100"/>
            </w:tcMar>
          </w:tcPr>
          <w:p>
            <w:r>
              <w:rPr>
                <w:b w:val="false"/>
                <w:bCs w:val="false"/>
                <w:sz w:val="20"/>
                <w:szCs w:val="20"/>
              </w:rPr>
              <w:t xml:space="preserve">Situational factors (rest days, travel distance/time zones, altitude delta, weather)</w:t>
            </w:r>
          </w:p>
        </w:tc>
        <w:tc>
          <w:tcPr>
            <w:tcW w:type="dxa" w:w="3400"/>
            <w:tcMar>
              <w:top w:type="dxa" w:w="80"/>
              <w:left w:type="dxa" w:w="100"/>
              <w:bottom w:type="dxa" w:w="80"/>
              <w:right w:type="dxa" w:w="100"/>
            </w:tcMar>
          </w:tcPr>
          <w:p>
            <w:r>
              <w:rPr>
                <w:b w:val="false"/>
                <w:bCs w:val="false"/>
                <w:sz w:val="20"/>
                <w:szCs w:val="20"/>
              </w:rPr>
              <w:t xml:space="preserve">Non-talent edges the market sometimes underprices</w:t>
            </w:r>
          </w:p>
        </w:tc>
        <w:tc>
          <w:tcPr>
            <w:tcW w:type="dxa" w:w="3200"/>
            <w:tcMar>
              <w:top w:type="dxa" w:w="80"/>
              <w:left w:type="dxa" w:w="100"/>
              <w:bottom w:type="dxa" w:w="80"/>
              <w:right w:type="dxa" w:w="100"/>
            </w:tcMar>
          </w:tcPr>
          <w:p>
            <w:r>
              <w:rPr>
                <w:b w:val="false"/>
                <w:bCs w:val="false"/>
                <w:sz w:val="20"/>
                <w:szCs w:val="20"/>
              </w:rPr>
              <w:t xml:space="preserve">Adjustment layer on top of the power rating</w:t>
            </w:r>
          </w:p>
        </w:tc>
      </w:tr>
      <w:tr>
        <w:tc>
          <w:tcPr>
            <w:tcW w:type="dxa" w:w="3000"/>
            <w:tcMar>
              <w:top w:type="dxa" w:w="80"/>
              <w:left w:type="dxa" w:w="100"/>
              <w:bottom w:type="dxa" w:w="80"/>
              <w:right w:type="dxa" w:w="100"/>
            </w:tcMar>
          </w:tcPr>
          <w:p>
            <w:r>
              <w:rPr>
                <w:b w:val="false"/>
                <w:bCs w:val="false"/>
                <w:sz w:val="20"/>
                <w:szCs w:val="20"/>
              </w:rPr>
              <w:t xml:space="preserve">Market line itself (opening vs. current)</w:t>
            </w:r>
          </w:p>
        </w:tc>
        <w:tc>
          <w:tcPr>
            <w:tcW w:type="dxa" w:w="3400"/>
            <w:tcMar>
              <w:top w:type="dxa" w:w="80"/>
              <w:left w:type="dxa" w:w="100"/>
              <w:bottom w:type="dxa" w:w="80"/>
              <w:right w:type="dxa" w:w="100"/>
            </w:tcMar>
          </w:tcPr>
          <w:p>
            <w:r>
              <w:rPr>
                <w:b w:val="false"/>
                <w:bCs w:val="false"/>
                <w:sz w:val="20"/>
                <w:szCs w:val="20"/>
              </w:rPr>
              <w:t xml:space="preserve">Aggregated wisdom + sharp money signal</w:t>
            </w:r>
          </w:p>
        </w:tc>
        <w:tc>
          <w:tcPr>
            <w:tcW w:type="dxa" w:w="3200"/>
            <w:tcMar>
              <w:top w:type="dxa" w:w="80"/>
              <w:left w:type="dxa" w:w="100"/>
              <w:bottom w:type="dxa" w:w="80"/>
              <w:right w:type="dxa" w:w="100"/>
            </w:tcMar>
          </w:tcPr>
          <w:p>
            <w:r>
              <w:rPr>
                <w:b w:val="false"/>
                <w:bCs w:val="false"/>
                <w:sz w:val="20"/>
                <w:szCs w:val="20"/>
              </w:rPr>
              <w:t xml:space="preserve">Backtest benchmark — your model is only useful if it beats this</w:t>
            </w:r>
          </w:p>
        </w:tc>
      </w:tr>
    </w:tbl>
    <w:p>
      <w:pPr>
        <w:pStyle w:val="Heading1"/>
        <w:spacing w:after="160" w:before="360"/>
      </w:pPr>
      <w:r>
        <w:t xml:space="preserve">3. Data Sourcing Plan</w:t>
      </w:r>
    </w:p>
    <w:p>
      <w:pPr>
        <w:spacing w:after="160"/>
      </w:pPr>
      <w:r>
        <w:t xml:space="preserve">CollegeFootballData.com (CFBD) is the right backbone: it's free (a cheap paid tier removes rate limits), has a clean Python client, and covers team/game results, advanced/PPA stats, recruiting composites, rosters, and some betting lines and weather going back well over a decade. Its betting-line coverage gets thin the further back you go, so that gets a supplemental source. Recommended stack: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1600"/>
        <w:gridCol w:w="1600"/>
      </w:tblGrid>
      <w:tr>
        <w:trPr>
          <w:tblHeader/>
        </w:trPr>
        <w:tc>
          <w:tcPr>
            <w:tcW w:type="dxa" w:w="3000"/>
            <w:shd w:fill="D9E2F3" w:val="clear"/>
            <w:tcMar>
              <w:top w:type="dxa" w:w="80"/>
              <w:left w:type="dxa" w:w="100"/>
              <w:bottom w:type="dxa" w:w="80"/>
              <w:right w:type="dxa" w:w="100"/>
            </w:tcMar>
          </w:tcPr>
          <w:p>
            <w:r>
              <w:rPr>
                <w:b/>
                <w:bCs/>
                <w:sz w:val="20"/>
                <w:szCs w:val="20"/>
              </w:rPr>
              <w:t xml:space="preserve">Source</w:t>
            </w:r>
          </w:p>
        </w:tc>
        <w:tc>
          <w:tcPr>
            <w:tcW w:type="dxa" w:w="3400"/>
            <w:shd w:fill="D9E2F3" w:val="clear"/>
            <w:tcMar>
              <w:top w:type="dxa" w:w="80"/>
              <w:left w:type="dxa" w:w="100"/>
              <w:bottom w:type="dxa" w:w="80"/>
              <w:right w:type="dxa" w:w="100"/>
            </w:tcMar>
          </w:tcPr>
          <w:p>
            <w:r>
              <w:rPr>
                <w:b/>
                <w:bCs/>
                <w:sz w:val="20"/>
                <w:szCs w:val="20"/>
              </w:rPr>
              <w:t xml:space="preserve">What it provides</w:t>
            </w:r>
          </w:p>
        </w:tc>
        <w:tc>
          <w:tcPr>
            <w:tcW w:type="dxa" w:w="1600"/>
            <w:shd w:fill="D9E2F3" w:val="clear"/>
            <w:tcMar>
              <w:top w:type="dxa" w:w="80"/>
              <w:left w:type="dxa" w:w="100"/>
              <w:bottom w:type="dxa" w:w="80"/>
              <w:right w:type="dxa" w:w="100"/>
            </w:tcMar>
          </w:tcPr>
          <w:p>
            <w:r>
              <w:rPr>
                <w:b/>
                <w:bCs/>
                <w:sz w:val="20"/>
                <w:szCs w:val="20"/>
              </w:rPr>
              <w:t xml:space="preserve">Cost</w:t>
            </w:r>
          </w:p>
        </w:tc>
        <w:tc>
          <w:tcPr>
            <w:tcW w:type="dxa" w:w="1600"/>
            <w:shd w:fill="D9E2F3" w:val="clear"/>
            <w:tcMar>
              <w:top w:type="dxa" w:w="80"/>
              <w:left w:type="dxa" w:w="100"/>
              <w:bottom w:type="dxa" w:w="80"/>
              <w:right w:type="dxa" w:w="100"/>
            </w:tcMar>
          </w:tcPr>
          <w:p>
            <w:r>
              <w:rPr>
                <w:b/>
                <w:bCs/>
                <w:sz w:val="20"/>
                <w:szCs w:val="20"/>
              </w:rPr>
              <w:t xml:space="preserve">Priority</w:t>
            </w:r>
          </w:p>
        </w:tc>
      </w:tr>
      <w:tr>
        <w:tc>
          <w:tcPr>
            <w:tcW w:type="dxa" w:w="3000"/>
            <w:tcMar>
              <w:top w:type="dxa" w:w="80"/>
              <w:left w:type="dxa" w:w="100"/>
              <w:bottom w:type="dxa" w:w="80"/>
              <w:right w:type="dxa" w:w="100"/>
            </w:tcMar>
          </w:tcPr>
          <w:p>
            <w:r>
              <w:rPr>
                <w:b w:val="false"/>
                <w:bCs w:val="false"/>
                <w:sz w:val="20"/>
                <w:szCs w:val="20"/>
              </w:rPr>
              <w:t xml:space="preserve">CollegeFootballData.com API</w:t>
            </w:r>
          </w:p>
        </w:tc>
        <w:tc>
          <w:tcPr>
            <w:tcW w:type="dxa" w:w="3400"/>
            <w:tcMar>
              <w:top w:type="dxa" w:w="80"/>
              <w:left w:type="dxa" w:w="100"/>
              <w:bottom w:type="dxa" w:w="80"/>
              <w:right w:type="dxa" w:w="100"/>
            </w:tcMar>
          </w:tcPr>
          <w:p>
            <w:r>
              <w:rPr>
                <w:b w:val="false"/>
                <w:bCs w:val="false"/>
                <w:sz w:val="20"/>
                <w:szCs w:val="20"/>
              </w:rPr>
              <w:t xml:space="preserve">Games, box scores, advanced/PPA stats, SP+, recruiting, rosters, some lines/weather</w:t>
            </w:r>
          </w:p>
        </w:tc>
        <w:tc>
          <w:tcPr>
            <w:tcW w:type="dxa" w:w="1600"/>
            <w:tcMar>
              <w:top w:type="dxa" w:w="80"/>
              <w:left w:type="dxa" w:w="100"/>
              <w:bottom w:type="dxa" w:w="80"/>
              <w:right w:type="dxa" w:w="100"/>
            </w:tcMar>
          </w:tcPr>
          <w:p>
            <w:r>
              <w:rPr>
                <w:b w:val="false"/>
                <w:bCs w:val="false"/>
                <w:sz w:val="20"/>
                <w:szCs w:val="20"/>
              </w:rPr>
              <w:t xml:space="preserve">Free / cheap patreon tier for higher rate limits</w:t>
            </w:r>
          </w:p>
        </w:tc>
        <w:tc>
          <w:tcPr>
            <w:tcW w:type="dxa" w:w="1600"/>
            <w:tcMar>
              <w:top w:type="dxa" w:w="80"/>
              <w:left w:type="dxa" w:w="100"/>
              <w:bottom w:type="dxa" w:w="80"/>
              <w:right w:type="dxa" w:w="100"/>
            </w:tcMar>
          </w:tcPr>
          <w:p>
            <w:r>
              <w:rPr>
                <w:b w:val="false"/>
                <w:bCs w:val="false"/>
                <w:sz w:val="20"/>
                <w:szCs w:val="20"/>
              </w:rPr>
              <w:t xml:space="preserve">Primary backbone</w:t>
            </w:r>
          </w:p>
        </w:tc>
      </w:tr>
      <w:tr>
        <w:tc>
          <w:tcPr>
            <w:tcW w:type="dxa" w:w="3000"/>
            <w:tcMar>
              <w:top w:type="dxa" w:w="80"/>
              <w:left w:type="dxa" w:w="100"/>
              <w:bottom w:type="dxa" w:w="80"/>
              <w:right w:type="dxa" w:w="100"/>
            </w:tcMar>
          </w:tcPr>
          <w:p>
            <w:r>
              <w:rPr>
                <w:b w:val="false"/>
                <w:bCs w:val="false"/>
                <w:sz w:val="20"/>
                <w:szCs w:val="20"/>
              </w:rPr>
              <w:t xml:space="preserve">Historical closing-line archive (e.g. Sports Book Review Online season files)</w:t>
            </w:r>
          </w:p>
        </w:tc>
        <w:tc>
          <w:tcPr>
            <w:tcW w:type="dxa" w:w="3400"/>
            <w:tcMar>
              <w:top w:type="dxa" w:w="80"/>
              <w:left w:type="dxa" w:w="100"/>
              <w:bottom w:type="dxa" w:w="80"/>
              <w:right w:type="dxa" w:w="100"/>
            </w:tcMar>
          </w:tcPr>
          <w:p>
            <w:r>
              <w:rPr>
                <w:b w:val="false"/>
                <w:bCs w:val="false"/>
                <w:sz w:val="20"/>
                <w:szCs w:val="20"/>
              </w:rPr>
              <w:t xml:space="preserve">Opening &amp; closing spreads/totals by game, going back many seasons</w:t>
            </w:r>
          </w:p>
        </w:tc>
        <w:tc>
          <w:tcPr>
            <w:tcW w:type="dxa" w:w="1600"/>
            <w:tcMar>
              <w:top w:type="dxa" w:w="80"/>
              <w:left w:type="dxa" w:w="100"/>
              <w:bottom w:type="dxa" w:w="80"/>
              <w:right w:type="dxa" w:w="100"/>
            </w:tcMar>
          </w:tcPr>
          <w:p>
            <w:r>
              <w:rPr>
                <w:b w:val="false"/>
                <w:bCs w:val="false"/>
                <w:sz w:val="20"/>
                <w:szCs w:val="20"/>
              </w:rPr>
              <w:t xml:space="preserve">Free (manual download) or paid odds API for convenience</w:t>
            </w:r>
          </w:p>
        </w:tc>
        <w:tc>
          <w:tcPr>
            <w:tcW w:type="dxa" w:w="1600"/>
            <w:tcMar>
              <w:top w:type="dxa" w:w="80"/>
              <w:left w:type="dxa" w:w="100"/>
              <w:bottom w:type="dxa" w:w="80"/>
              <w:right w:type="dxa" w:w="100"/>
            </w:tcMar>
          </w:tcPr>
          <w:p>
            <w:r>
              <w:rPr>
                <w:b w:val="false"/>
                <w:bCs w:val="false"/>
                <w:sz w:val="20"/>
                <w:szCs w:val="20"/>
              </w:rPr>
              <w:t xml:space="preserve">Required for backtesting — CFBD's line data has gaps</w:t>
            </w:r>
          </w:p>
        </w:tc>
      </w:tr>
      <w:tr>
        <w:tc>
          <w:tcPr>
            <w:tcW w:type="dxa" w:w="3000"/>
            <w:tcMar>
              <w:top w:type="dxa" w:w="80"/>
              <w:left w:type="dxa" w:w="100"/>
              <w:bottom w:type="dxa" w:w="80"/>
              <w:right w:type="dxa" w:w="100"/>
            </w:tcMar>
          </w:tcPr>
          <w:p>
            <w:r>
              <w:rPr>
                <w:b w:val="false"/>
                <w:bCs w:val="false"/>
                <w:sz w:val="20"/>
                <w:szCs w:val="20"/>
              </w:rPr>
              <w:t xml:space="preserve">Live odds API (e.g. The Odds API) going forward</w:t>
            </w:r>
          </w:p>
        </w:tc>
        <w:tc>
          <w:tcPr>
            <w:tcW w:type="dxa" w:w="3400"/>
            <w:tcMar>
              <w:top w:type="dxa" w:w="80"/>
              <w:left w:type="dxa" w:w="100"/>
              <w:bottom w:type="dxa" w:w="80"/>
              <w:right w:type="dxa" w:w="100"/>
            </w:tcMar>
          </w:tcPr>
          <w:p>
            <w:r>
              <w:rPr>
                <w:b w:val="false"/>
                <w:bCs w:val="false"/>
                <w:sz w:val="20"/>
                <w:szCs w:val="20"/>
              </w:rPr>
              <w:t xml:space="preserve">Real-time opening/closing lines across books this season</w:t>
            </w:r>
          </w:p>
        </w:tc>
        <w:tc>
          <w:tcPr>
            <w:tcW w:type="dxa" w:w="1600"/>
            <w:tcMar>
              <w:top w:type="dxa" w:w="80"/>
              <w:left w:type="dxa" w:w="100"/>
              <w:bottom w:type="dxa" w:w="80"/>
              <w:right w:type="dxa" w:w="100"/>
            </w:tcMar>
          </w:tcPr>
          <w:p>
            <w:r>
              <w:rPr>
                <w:b w:val="false"/>
                <w:bCs w:val="false"/>
                <w:sz w:val="20"/>
                <w:szCs w:val="20"/>
              </w:rPr>
              <w:t xml:space="preserve">Free tier available; paid for higher volume</w:t>
            </w:r>
          </w:p>
        </w:tc>
        <w:tc>
          <w:tcPr>
            <w:tcW w:type="dxa" w:w="1600"/>
            <w:tcMar>
              <w:top w:type="dxa" w:w="80"/>
              <w:left w:type="dxa" w:w="100"/>
              <w:bottom w:type="dxa" w:w="80"/>
              <w:right w:type="dxa" w:w="100"/>
            </w:tcMar>
          </w:tcPr>
          <w:p>
            <w:r>
              <w:rPr>
                <w:b w:val="false"/>
                <w:bCs w:val="false"/>
                <w:sz w:val="20"/>
                <w:szCs w:val="20"/>
              </w:rPr>
              <w:t xml:space="preserve">Needed for live CLV tracking once the season starts</w:t>
            </w:r>
          </w:p>
        </w:tc>
      </w:tr>
      <w:tr>
        <w:tc>
          <w:tcPr>
            <w:tcW w:type="dxa" w:w="3000"/>
            <w:tcMar>
              <w:top w:type="dxa" w:w="80"/>
              <w:left w:type="dxa" w:w="100"/>
              <w:bottom w:type="dxa" w:w="80"/>
              <w:right w:type="dxa" w:w="100"/>
            </w:tcMar>
          </w:tcPr>
          <w:p>
            <w:r>
              <w:rPr>
                <w:b w:val="false"/>
                <w:bCs w:val="false"/>
                <w:sz w:val="20"/>
                <w:szCs w:val="20"/>
              </w:rPr>
              <w:t xml:space="preserve">Visual Crossing / NOAA historical weather</w:t>
            </w:r>
          </w:p>
        </w:tc>
        <w:tc>
          <w:tcPr>
            <w:tcW w:type="dxa" w:w="3400"/>
            <w:tcMar>
              <w:top w:type="dxa" w:w="80"/>
              <w:left w:type="dxa" w:w="100"/>
              <w:bottom w:type="dxa" w:w="80"/>
              <w:right w:type="dxa" w:w="100"/>
            </w:tcMar>
          </w:tcPr>
          <w:p>
            <w:r>
              <w:rPr>
                <w:b w:val="false"/>
                <w:bCs w:val="false"/>
                <w:sz w:val="20"/>
                <w:szCs w:val="20"/>
              </w:rPr>
              <w:t xml:space="preserve">Game-day temp, wind, precip at stadium location</w:t>
            </w:r>
          </w:p>
        </w:tc>
        <w:tc>
          <w:tcPr>
            <w:tcW w:type="dxa" w:w="1600"/>
            <w:tcMar>
              <w:top w:type="dxa" w:w="80"/>
              <w:left w:type="dxa" w:w="100"/>
              <w:bottom w:type="dxa" w:w="80"/>
              <w:right w:type="dxa" w:w="100"/>
            </w:tcMar>
          </w:tcPr>
          <w:p>
            <w:r>
              <w:rPr>
                <w:b w:val="false"/>
                <w:bCs w:val="false"/>
                <w:sz w:val="20"/>
                <w:szCs w:val="20"/>
              </w:rPr>
              <w:t xml:space="preserve">Free tier sufficient</w:t>
            </w:r>
          </w:p>
        </w:tc>
        <w:tc>
          <w:tcPr>
            <w:tcW w:type="dxa" w:w="1600"/>
            <w:tcMar>
              <w:top w:type="dxa" w:w="80"/>
              <w:left w:type="dxa" w:w="100"/>
              <w:bottom w:type="dxa" w:w="80"/>
              <w:right w:type="dxa" w:w="100"/>
            </w:tcMar>
          </w:tcPr>
          <w:p>
            <w:r>
              <w:rPr>
                <w:b w:val="false"/>
                <w:bCs w:val="false"/>
                <w:sz w:val="20"/>
                <w:szCs w:val="20"/>
              </w:rPr>
              <w:t xml:space="preserve">Supplement — CFBD weather coverage is partial</w:t>
            </w:r>
          </w:p>
        </w:tc>
      </w:tr>
      <w:tr>
        <w:tc>
          <w:tcPr>
            <w:tcW w:type="dxa" w:w="3000"/>
            <w:tcMar>
              <w:top w:type="dxa" w:w="80"/>
              <w:left w:type="dxa" w:w="100"/>
              <w:bottom w:type="dxa" w:w="80"/>
              <w:right w:type="dxa" w:w="100"/>
            </w:tcMar>
          </w:tcPr>
          <w:p>
            <w:r>
              <w:rPr>
                <w:b w:val="false"/>
                <w:bCs w:val="false"/>
                <w:sz w:val="20"/>
                <w:szCs w:val="20"/>
              </w:rPr>
              <w:t xml:space="preserve">247Sports/On3 recruiting composite (via CFBD)</w:t>
            </w:r>
          </w:p>
        </w:tc>
        <w:tc>
          <w:tcPr>
            <w:tcW w:type="dxa" w:w="3400"/>
            <w:tcMar>
              <w:top w:type="dxa" w:w="80"/>
              <w:left w:type="dxa" w:w="100"/>
              <w:bottom w:type="dxa" w:w="80"/>
              <w:right w:type="dxa" w:w="100"/>
            </w:tcMar>
          </w:tcPr>
          <w:p>
            <w:r>
              <w:rPr>
                <w:b w:val="false"/>
                <w:bCs w:val="false"/>
                <w:sz w:val="20"/>
                <w:szCs w:val="20"/>
              </w:rPr>
              <w:t xml:space="preserve">Team talent composite by class/season</w:t>
            </w:r>
          </w:p>
        </w:tc>
        <w:tc>
          <w:tcPr>
            <w:tcW w:type="dxa" w:w="1600"/>
            <w:tcMar>
              <w:top w:type="dxa" w:w="80"/>
              <w:left w:type="dxa" w:w="100"/>
              <w:bottom w:type="dxa" w:w="80"/>
              <w:right w:type="dxa" w:w="100"/>
            </w:tcMar>
          </w:tcPr>
          <w:p>
            <w:r>
              <w:rPr>
                <w:b w:val="false"/>
                <w:bCs w:val="false"/>
                <w:sz w:val="20"/>
                <w:szCs w:val="20"/>
              </w:rPr>
              <w:t xml:space="preserve">Free via CFBD</w:t>
            </w:r>
          </w:p>
        </w:tc>
        <w:tc>
          <w:tcPr>
            <w:tcW w:type="dxa" w:w="1600"/>
            <w:tcMar>
              <w:top w:type="dxa" w:w="80"/>
              <w:left w:type="dxa" w:w="100"/>
              <w:bottom w:type="dxa" w:w="80"/>
              <w:right w:type="dxa" w:w="100"/>
            </w:tcMar>
          </w:tcPr>
          <w:p>
            <w:r>
              <w:rPr>
                <w:b w:val="false"/>
                <w:bCs w:val="false"/>
                <w:sz w:val="20"/>
                <w:szCs w:val="20"/>
              </w:rPr>
              <w:t xml:space="preserve">Prior for thin-sample teams</w:t>
            </w:r>
          </w:p>
        </w:tc>
      </w:tr>
    </w:tbl>
    <w:p>
      <w:pPr>
        <w:pStyle w:val="Heading1"/>
        <w:spacing w:after="160" w:before="360"/>
      </w:pPr>
      <w:r>
        <w:t xml:space="preserve">4. Pipeline Architecture: Gather → Clean → Feature Engineer → Store</w:t>
      </w:r>
    </w:p>
    <w:p>
      <w:pPr>
        <w:pStyle w:val="Heading2"/>
        <w:spacing w:after="120" w:before="260"/>
      </w:pPr>
      <w:r>
        <w:t xml:space="preserve">Gather</w:t>
      </w:r>
    </w:p>
    <w:p>
      <w:pPr>
        <w:spacing w:after="160"/>
      </w:pPr>
      <w:r>
        <w:t xml:space="preserve">Pull season-by-season game results, team/advanced stats, lines, and weather with Python scripts (the official cfbd Python client plus requests for anything else). Store every raw pull as an immutable, dated snapshot (JSON or Parquet) rather than overwriting — this matters especially for betting lines, where you want the opening line and the closing line captured as two distinct snapshots, since the gap between them is exactly what CLV backtesting measures.</w:t>
      </w:r>
    </w:p>
    <w:p>
      <w:pPr>
        <w:pStyle w:val="Heading2"/>
        <w:spacing w:after="120" w:before="260"/>
      </w:pPr>
      <w:r>
        <w:t xml:space="preserve">Clean / Extract</w:t>
      </w:r>
    </w:p>
    <w:p>
      <w:pPr>
        <w:spacing w:after="160"/>
      </w:pPr>
      <w:r>
        <w:t xml:space="preserve">The single biggest source of silent bugs in college football data work is team-name inconsistency across sources ("San José State" vs. "San Jose State", team IDs that drift when a school changes conferences mid-dataset). Build a canonical team-ID crosswalk once, early, and route every source through it. Also normalize: bye weeks and cancelled/rescheduled games, kickoff time zones, and a stable game_id that survives realignment so a team's full multi-conference history joins cleanly into one table.</w:t>
      </w:r>
    </w:p>
    <w:p>
      <w:pPr>
        <w:pStyle w:val="Heading2"/>
        <w:spacing w:after="120" w:before="260"/>
      </w:pPr>
      <w:r>
        <w:t xml:space="preserve">Feature Engineer</w:t>
      </w:r>
    </w:p>
    <w:p>
      <w:pPr>
        <w:spacing w:after="160"/>
      </w:pPr>
      <w:r>
        <w:t xml:space="preserve">The classic mistake here is target leakage — using a team's final-season defensive numbers to "predict" week 3 of that same season. Every feature must be computed only from data available before that game's kickoff: rolling/expanding averages, opponent-adjusted efficiency, recency weighting, rest days, travel distance and time zones crossed, elevation delta (relevant for Air Force, New Mexico, and especially Wyoming), home/road/neutral, and conference-vs-non-conference flags.</w:t>
      </w:r>
    </w:p>
    <w:p>
      <w:pPr>
        <w:pStyle w:val="Heading2"/>
        <w:spacing w:after="120" w:before="260"/>
      </w:pPr>
      <w:r>
        <w:t xml:space="preserve">Store</w:t>
      </w:r>
    </w:p>
    <w:p>
      <w:pPr>
        <w:spacing w:after="160"/>
      </w:pPr>
      <w:r>
        <w:t xml:space="preserve">A single local DuckDB or SQLite file as the source of truth is the right scale here — no server to manage, fast for this data size, and both Python and Excel (via Power Query / CSV export) can read from it. Treat it as the one place all cleaned, feature-engineered, game-level rows live.</w:t>
      </w:r>
    </w:p>
    <w:p>
      <w:pPr>
        <w:pStyle w:val="Heading1"/>
        <w:spacing w:after="160" w:before="360"/>
      </w:pPr>
      <w:r>
        <w:t xml:space="preserve">5. Modeling Approach</w:t>
      </w:r>
    </w:p>
    <w:p>
      <w:pPr>
        <w:spacing w:after="160"/>
      </w:pPr>
      <w:r>
        <w:t xml:space="preserve">Start simple and only add complexity where it earns its keep:</w:t>
      </w:r>
    </w:p>
    <w:p>
      <w:pPr>
        <w:pStyle w:val="ListParagraph"/>
        <w:numPr>
          <w:ilvl w:val="0"/>
          <w:numId w:val="2"/>
        </w:numPr>
        <w:spacing w:after="80"/>
      </w:pPr>
      <w:r>
        <w:t xml:space="preserve">Baseline power rating — a Massey/Elo-style iterative rating predicting margin of victory. Simple, transparent, easy to debug, and a useful sanity check against SP+/FPI.</w:t>
      </w:r>
    </w:p>
    <w:p>
      <w:pPr>
        <w:pStyle w:val="ListParagraph"/>
        <w:numPr>
          <w:ilvl w:val="0"/>
          <w:numId w:val="2"/>
        </w:numPr>
        <w:spacing w:after="80"/>
      </w:pPr>
      <w:r>
        <w:t xml:space="preserve">Regularized regression (ridge / elastic-net) on the engineered features (efficiency, talent, rest, travel, altitude, home field) to predict margin. Regularization matters given how heterogeneous team quality is across a 10-team league with three newcomers.</w:t>
      </w:r>
    </w:p>
    <w:p>
      <w:pPr>
        <w:pStyle w:val="ListParagraph"/>
        <w:numPr>
          <w:ilvl w:val="0"/>
          <w:numId w:val="2"/>
        </w:numPr>
        <w:spacing w:after="80"/>
      </w:pPr>
      <w:r>
        <w:t xml:space="preserve">Gradient-boosted trees (XGBoost/LightGBM), optional and later — train broadly across all FBS (for row count), then score the current season's MW-involved matchups specifically. Only worth adding once the simpler models are backtested and understood.</w:t>
      </w:r>
    </w:p>
    <w:p>
      <w:pPr>
        <w:pStyle w:val="ListParagraph"/>
        <w:numPr>
          <w:ilvl w:val="0"/>
          <w:numId w:val="2"/>
        </w:numPr>
        <w:spacing w:after="80"/>
      </w:pPr>
      <w:r>
        <w:t xml:space="preserve">Convert the margin prediction plus its residual standard deviation into a win probability, and build total-points from separate pace-adjusted offense/defense scoring projections.</w:t>
      </w:r>
    </w:p>
    <w:p>
      <w:pPr>
        <w:pStyle w:val="ListParagraph"/>
        <w:numPr>
          <w:ilvl w:val="0"/>
          <w:numId w:val="2"/>
        </w:numPr>
        <w:spacing w:after="80"/>
      </w:pPr>
      <w:r>
        <w:t xml:space="preserve">Compare model spread to market spread every week. Edge = market spread − model spread. Only flag a bet where the edge clears a threshold big enough to survive the vig (-110 needs 52.4% to break even) and your own model's known error bar.</w:t>
      </w:r>
    </w:p>
    <w:p>
      <w:pPr>
        <w:pStyle w:val="Heading1"/>
        <w:spacing w:after="160" w:before="360"/>
      </w:pPr>
      <w:r>
        <w:t xml:space="preserve">6. Backtesting Framework</w:t>
      </w:r>
    </w:p>
    <w:p>
      <w:pPr>
        <w:spacing w:after="160"/>
      </w:pPr>
      <w:r>
        <w:t xml:space="preserve">The single non-negotiable rule: walk-forward only. Never fit or tune using data from after the game being predicted — it is trivially easy to build a model that "backtests" brilliantly by accident because of hindsight leakage. Track these metrics every week, not just at season's end: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shd w:fill="D9E2F3" w:val="clear"/>
            <w:tcMar>
              <w:top w:type="dxa" w:w="80"/>
              <w:left w:type="dxa" w:w="100"/>
              <w:bottom w:type="dxa" w:w="80"/>
              <w:right w:type="dxa" w:w="100"/>
            </w:tcMar>
          </w:tcPr>
          <w:p>
            <w:r>
              <w:rPr>
                <w:b/>
                <w:bCs/>
                <w:sz w:val="20"/>
                <w:szCs w:val="20"/>
              </w:rPr>
              <w:t xml:space="preserve">Metric</w:t>
            </w:r>
          </w:p>
        </w:tc>
        <w:tc>
          <w:tcPr>
            <w:tcW w:type="dxa" w:w="7200"/>
            <w:shd w:fill="D9E2F3" w:val="clear"/>
            <w:tcMar>
              <w:top w:type="dxa" w:w="80"/>
              <w:left w:type="dxa" w:w="100"/>
              <w:bottom w:type="dxa" w:w="80"/>
              <w:right w:type="dxa" w:w="100"/>
            </w:tcMar>
          </w:tcPr>
          <w:p>
            <w:r>
              <w:rPr>
                <w:b/>
                <w:bCs/>
                <w:sz w:val="20"/>
                <w:szCs w:val="20"/>
              </w:rPr>
              <w:t xml:space="preserve">Why it matters</w:t>
            </w:r>
          </w:p>
        </w:tc>
      </w:tr>
      <w:tr>
        <w:tc>
          <w:tcPr>
            <w:tcW w:type="dxa" w:w="2600"/>
            <w:tcMar>
              <w:top w:type="dxa" w:w="80"/>
              <w:left w:type="dxa" w:w="100"/>
              <w:bottom w:type="dxa" w:w="80"/>
              <w:right w:type="dxa" w:w="100"/>
            </w:tcMar>
          </w:tcPr>
          <w:p>
            <w:r>
              <w:rPr>
                <w:b w:val="false"/>
                <w:bCs w:val="false"/>
                <w:sz w:val="20"/>
                <w:szCs w:val="20"/>
              </w:rPr>
              <w:t xml:space="preserve">ATS win rate</w:t>
            </w:r>
          </w:p>
        </w:tc>
        <w:tc>
          <w:tcPr>
            <w:tcW w:type="dxa" w:w="7200"/>
            <w:tcMar>
              <w:top w:type="dxa" w:w="80"/>
              <w:left w:type="dxa" w:w="100"/>
              <w:bottom w:type="dxa" w:w="80"/>
              <w:right w:type="dxa" w:w="100"/>
            </w:tcMar>
          </w:tcPr>
          <w:p>
            <w:r>
              <w:rPr>
                <w:b w:val="false"/>
                <w:bCs w:val="false"/>
                <w:sz w:val="20"/>
                <w:szCs w:val="20"/>
              </w:rPr>
              <w:t xml:space="preserve">Needs to clear ~52.4% at standard -110 vig to be profitable at all</w:t>
            </w:r>
          </w:p>
        </w:tc>
      </w:tr>
      <w:tr>
        <w:tc>
          <w:tcPr>
            <w:tcW w:type="dxa" w:w="2600"/>
            <w:tcMar>
              <w:top w:type="dxa" w:w="80"/>
              <w:left w:type="dxa" w:w="100"/>
              <w:bottom w:type="dxa" w:w="80"/>
              <w:right w:type="dxa" w:w="100"/>
            </w:tcMar>
          </w:tcPr>
          <w:p>
            <w:r>
              <w:rPr>
                <w:b w:val="false"/>
                <w:bCs w:val="false"/>
                <w:sz w:val="20"/>
                <w:szCs w:val="20"/>
              </w:rPr>
              <w:t xml:space="preserve">Closing Line Value (CLV)</w:t>
            </w:r>
          </w:p>
        </w:tc>
        <w:tc>
          <w:tcPr>
            <w:tcW w:type="dxa" w:w="7200"/>
            <w:tcMar>
              <w:top w:type="dxa" w:w="80"/>
              <w:left w:type="dxa" w:w="100"/>
              <w:bottom w:type="dxa" w:w="80"/>
              <w:right w:type="dxa" w:w="100"/>
            </w:tcMar>
          </w:tcPr>
          <w:p>
            <w:r>
              <w:rPr>
                <w:b w:val="false"/>
                <w:bCs w:val="false"/>
                <w:sz w:val="20"/>
                <w:szCs w:val="20"/>
              </w:rPr>
              <w:t xml:space="preserve">Did you get a better number than the closing line? The single best early indicator of real skill — it shows up before win/loss record has enough sample to mean anything</w:t>
            </w:r>
          </w:p>
        </w:tc>
      </w:tr>
      <w:tr>
        <w:tc>
          <w:tcPr>
            <w:tcW w:type="dxa" w:w="2600"/>
            <w:tcMar>
              <w:top w:type="dxa" w:w="80"/>
              <w:left w:type="dxa" w:w="100"/>
              <w:bottom w:type="dxa" w:w="80"/>
              <w:right w:type="dxa" w:w="100"/>
            </w:tcMar>
          </w:tcPr>
          <w:p>
            <w:r>
              <w:rPr>
                <w:b w:val="false"/>
                <w:bCs w:val="false"/>
                <w:sz w:val="20"/>
                <w:szCs w:val="20"/>
              </w:rPr>
              <w:t xml:space="preserve">Calibration (Brier score)</w:t>
            </w:r>
          </w:p>
        </w:tc>
        <w:tc>
          <w:tcPr>
            <w:tcW w:type="dxa" w:w="7200"/>
            <w:tcMar>
              <w:top w:type="dxa" w:w="80"/>
              <w:left w:type="dxa" w:w="100"/>
              <w:bottom w:type="dxa" w:w="80"/>
              <w:right w:type="dxa" w:w="100"/>
            </w:tcMar>
          </w:tcPr>
          <w:p>
            <w:r>
              <w:rPr>
                <w:b w:val="false"/>
                <w:bCs w:val="false"/>
                <w:sz w:val="20"/>
                <w:szCs w:val="20"/>
              </w:rPr>
              <w:t xml:space="preserve">Do your stated win probabilities match actual outcomes? A model that says "65%" should win about 65% of the time</w:t>
            </w:r>
          </w:p>
        </w:tc>
      </w:tr>
      <w:tr>
        <w:tc>
          <w:tcPr>
            <w:tcW w:type="dxa" w:w="2600"/>
            <w:tcMar>
              <w:top w:type="dxa" w:w="80"/>
              <w:left w:type="dxa" w:w="100"/>
              <w:bottom w:type="dxa" w:w="80"/>
              <w:right w:type="dxa" w:w="100"/>
            </w:tcMar>
          </w:tcPr>
          <w:p>
            <w:r>
              <w:rPr>
                <w:b w:val="false"/>
                <w:bCs w:val="false"/>
                <w:sz w:val="20"/>
                <w:szCs w:val="20"/>
              </w:rPr>
              <w:t xml:space="preserve">ROI — flat stake vs. Kelly-fraction stake</w:t>
            </w:r>
          </w:p>
        </w:tc>
        <w:tc>
          <w:tcPr>
            <w:tcW w:type="dxa" w:w="7200"/>
            <w:tcMar>
              <w:top w:type="dxa" w:w="80"/>
              <w:left w:type="dxa" w:w="100"/>
              <w:bottom w:type="dxa" w:w="80"/>
              <w:right w:type="dxa" w:w="100"/>
            </w:tcMar>
          </w:tcPr>
          <w:p>
            <w:r>
              <w:rPr>
                <w:b w:val="false"/>
                <w:bCs w:val="false"/>
                <w:sz w:val="20"/>
                <w:szCs w:val="20"/>
              </w:rPr>
              <w:t xml:space="preserve">Tests whether sizing discipline adds value beyond pick quality alone</w:t>
            </w:r>
          </w:p>
        </w:tc>
      </w:tr>
      <w:tr>
        <w:tc>
          <w:tcPr>
            <w:tcW w:type="dxa" w:w="2600"/>
            <w:tcMar>
              <w:top w:type="dxa" w:w="80"/>
              <w:left w:type="dxa" w:w="100"/>
              <w:bottom w:type="dxa" w:w="80"/>
              <w:right w:type="dxa" w:w="100"/>
            </w:tcMar>
          </w:tcPr>
          <w:p>
            <w:r>
              <w:rPr>
                <w:b w:val="false"/>
                <w:bCs w:val="false"/>
                <w:sz w:val="20"/>
                <w:szCs w:val="20"/>
              </w:rPr>
              <w:t xml:space="preserve">Performance sliced by situation</w:t>
            </w:r>
          </w:p>
        </w:tc>
        <w:tc>
          <w:tcPr>
            <w:tcW w:type="dxa" w:w="7200"/>
            <w:tcMar>
              <w:top w:type="dxa" w:w="80"/>
              <w:left w:type="dxa" w:w="100"/>
              <w:bottom w:type="dxa" w:w="80"/>
              <w:right w:type="dxa" w:w="100"/>
            </w:tcMar>
          </w:tcPr>
          <w:p>
            <w:r>
              <w:rPr>
                <w:b w:val="false"/>
                <w:bCs w:val="false"/>
                <w:sz w:val="20"/>
                <w:szCs w:val="20"/>
              </w:rPr>
              <w:t xml:space="preserve">Break results out by altitude games, short-rest/travel mismatches, home dogs, newcomer-involved games, etc. — this tells you where the actual edge lives instead of assuming uniform skill across every game type</w:t>
            </w:r>
          </w:p>
        </w:tc>
      </w:tr>
    </w:tbl>
    <w:p>
      <w:pPr>
        <w:spacing w:after="160"/>
      </w:pPr>
      <w:r>
        <w:t xml:space="preserve"/>
      </w:r>
    </w:p>
    <w:p>
      <w:pPr>
        <w:spacing w:after="160"/>
      </w:pPr>
      <w:r>
        <w:t xml:space="preserve">A 10-team league only plays roughly 40 conference games a year, which is a thin backtest sample on its own — augment it with every non-conference game these ten teams play too (still real, still predictive, and it roughly triples the usable sample).</w:t>
      </w:r>
    </w:p>
    <w:p>
      <w:pPr>
        <w:pStyle w:val="Heading1"/>
        <w:spacing w:after="160" w:before="360"/>
      </w:pPr>
      <w:r>
        <w:t xml:space="preserve">7. Where Excel Fits</w:t>
      </w:r>
    </w:p>
    <w:p>
      <w:pPr>
        <w:spacing w:after="160"/>
      </w:pPr>
      <w:r>
        <w:t xml:space="preserve">Excel isn't where the modeling happens — it's the cockpit. Keep the model itself in Python/DuckDB, and use a workbook (refreshed via CSV export or Power Query) with three tabs: a Weekly Slate tab showing model line vs. market line vs. edge vs. confidence, with a manual-override column for qualitative factors the model can't see yet (a starting QB change, a Thursday injury report, wind that just posted); a Bet Log tab recording every bet placed — stake, line taken, closing line (for CLV), result, and running bankroll in units, which becomes the honest record you judge the whole system against at season's end; and a Team Profiles tab, one page per team, showing power-rating trend, key situational splits, and injury notes at a glance before kickoff.</w:t>
      </w:r>
    </w:p>
    <w:p>
      <w:pPr>
        <w:pStyle w:val="Heading1"/>
        <w:spacing w:after="160" w:before="360"/>
      </w:pPr>
      <w:r>
        <w:t xml:space="preserve">8. Weekly In-Season Workflow</w:t>
      </w:r>
    </w:p>
    <w:p>
      <w:pPr>
        <w:pStyle w:val="ListParagraph"/>
        <w:numPr>
          <w:ilvl w:val="0"/>
          <w:numId w:val="3"/>
        </w:numPr>
        <w:spacing w:after="80"/>
      </w:pPr>
      <w:r>
        <w:t xml:space="preserve">Tue/Wed — pull results and refresh stats/EPA for the week just completed.</w:t>
      </w:r>
    </w:p>
    <w:p>
      <w:pPr>
        <w:pStyle w:val="ListParagraph"/>
        <w:numPr>
          <w:ilvl w:val="0"/>
          <w:numId w:val="3"/>
        </w:numPr>
        <w:spacing w:after="80"/>
      </w:pPr>
      <w:r>
        <w:t xml:space="preserve">Wed/Thu — re-run power ratings and the regression, generate projections for all MW games plus any non-conference games involving MW teams.</w:t>
      </w:r>
    </w:p>
    <w:p>
      <w:pPr>
        <w:pStyle w:val="ListParagraph"/>
        <w:numPr>
          <w:ilvl w:val="0"/>
          <w:numId w:val="3"/>
        </w:numPr>
        <w:spacing w:after="80"/>
      </w:pPr>
      <w:r>
        <w:t xml:space="preserve">Thu/Fri — pull opening lines, compute edges, flag games that clear your threshold.</w:t>
      </w:r>
    </w:p>
    <w:p>
      <w:pPr>
        <w:pStyle w:val="ListParagraph"/>
        <w:numPr>
          <w:ilvl w:val="0"/>
          <w:numId w:val="3"/>
        </w:numPr>
        <w:spacing w:after="80"/>
      </w:pPr>
      <w:r>
        <w:t xml:space="preserve">Fri/Sat pre-kickoff — check injury reports and weather, apply manual overrides in the Excel Weekly Slate, finalize bets, and log stake + line into the Bet Log at the moment of the bet.</w:t>
      </w:r>
    </w:p>
    <w:p>
      <w:pPr>
        <w:pStyle w:val="ListParagraph"/>
        <w:numPr>
          <w:ilvl w:val="0"/>
          <w:numId w:val="3"/>
        </w:numPr>
        <w:spacing w:after="80"/>
      </w:pPr>
      <w:r>
        <w:t xml:space="preserve">Post-game — log results, update the bankroll tracker, and feed actual outcomes back into the historical dataset so next week's features are current.</w:t>
      </w:r>
    </w:p>
    <w:p>
      <w:pPr>
        <w:pStyle w:val="ListParagraph"/>
        <w:numPr>
          <w:ilvl w:val="0"/>
          <w:numId w:val="3"/>
        </w:numPr>
        <w:spacing w:after="80"/>
      </w:pPr>
      <w:r>
        <w:t xml:space="preserve">End of season — full backtest review: CLV trend, ROI, calibration, and situational breakdown, feeding directly into what changes for next year.</w:t>
      </w:r>
    </w:p>
    <w:p>
      <w:pPr>
        <w:pStyle w:val="Heading1"/>
        <w:spacing w:after="160" w:before="360"/>
      </w:pPr>
      <w:r>
        <w:t xml:space="preserve">9. Build Roadmap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000"/>
        <w:gridCol w:w="3400"/>
      </w:tblGrid>
      <w:tr>
        <w:trPr>
          <w:tblHeader/>
        </w:trPr>
        <w:tc>
          <w:tcPr>
            <w:tcW w:type="dxa" w:w="900"/>
            <w:shd w:fill="D9E2F3" w:val="clear"/>
            <w:tcMar>
              <w:top w:type="dxa" w:w="80"/>
              <w:left w:type="dxa" w:w="100"/>
              <w:bottom w:type="dxa" w:w="80"/>
              <w:right w:type="dxa" w:w="100"/>
            </w:tcMar>
          </w:tcPr>
          <w:p>
            <w:r>
              <w:rPr>
                <w:b/>
                <w:bCs/>
                <w:sz w:val="20"/>
                <w:szCs w:val="20"/>
              </w:rPr>
              <w:t xml:space="preserve">Phase</w:t>
            </w:r>
          </w:p>
        </w:tc>
        <w:tc>
          <w:tcPr>
            <w:tcW w:type="dxa" w:w="3000"/>
            <w:shd w:fill="D9E2F3" w:val="clear"/>
            <w:tcMar>
              <w:top w:type="dxa" w:w="80"/>
              <w:left w:type="dxa" w:w="100"/>
              <w:bottom w:type="dxa" w:w="80"/>
              <w:right w:type="dxa" w:w="100"/>
            </w:tcMar>
          </w:tcPr>
          <w:p>
            <w:r>
              <w:rPr>
                <w:b/>
                <w:bCs/>
                <w:sz w:val="20"/>
                <w:szCs w:val="20"/>
              </w:rPr>
              <w:t xml:space="preserve">Focus</w:t>
            </w:r>
          </w:p>
        </w:tc>
        <w:tc>
          <w:tcPr>
            <w:tcW w:type="dxa" w:w="2000"/>
            <w:shd w:fill="D9E2F3" w:val="clear"/>
            <w:tcMar>
              <w:top w:type="dxa" w:w="80"/>
              <w:left w:type="dxa" w:w="100"/>
              <w:bottom w:type="dxa" w:w="80"/>
              <w:right w:type="dxa" w:w="100"/>
            </w:tcMar>
          </w:tcPr>
          <w:p>
            <w:r>
              <w:rPr>
                <w:b/>
                <w:bCs/>
                <w:sz w:val="20"/>
                <w:szCs w:val="20"/>
              </w:rPr>
              <w:t xml:space="preserve">Rough timeframe</w:t>
            </w:r>
          </w:p>
        </w:tc>
        <w:tc>
          <w:tcPr>
            <w:tcW w:type="dxa" w:w="3400"/>
            <w:shd w:fill="D9E2F3" w:val="clear"/>
            <w:tcMar>
              <w:top w:type="dxa" w:w="80"/>
              <w:left w:type="dxa" w:w="100"/>
              <w:bottom w:type="dxa" w:w="80"/>
              <w:right w:type="dxa" w:w="100"/>
            </w:tcMar>
          </w:tcPr>
          <w:p>
            <w:r>
              <w:rPr>
                <w:b/>
                <w:bCs/>
                <w:sz w:val="20"/>
                <w:szCs w:val="20"/>
              </w:rPr>
              <w:t xml:space="preserve">Key deliverable</w:t>
            </w:r>
          </w:p>
        </w:tc>
      </w:tr>
      <w:tr>
        <w:tc>
          <w:tcPr>
            <w:tcW w:type="dxa" w:w="900"/>
            <w:tcMar>
              <w:top w:type="dxa" w:w="80"/>
              <w:left w:type="dxa" w:w="100"/>
              <w:bottom w:type="dxa" w:w="80"/>
              <w:right w:type="dxa" w:w="100"/>
            </w:tcMar>
          </w:tcPr>
          <w:p>
            <w:r>
              <w:rPr>
                <w:b w:val="false"/>
                <w:bCs w:val="false"/>
                <w:sz w:val="20"/>
                <w:szCs w:val="20"/>
              </w:rPr>
              <w:t xml:space="preserve">0</w:t>
            </w:r>
          </w:p>
        </w:tc>
        <w:tc>
          <w:tcPr>
            <w:tcW w:type="dxa" w:w="3000"/>
            <w:tcMar>
              <w:top w:type="dxa" w:w="80"/>
              <w:left w:type="dxa" w:w="100"/>
              <w:bottom w:type="dxa" w:w="80"/>
              <w:right w:type="dxa" w:w="100"/>
            </w:tcMar>
          </w:tcPr>
          <w:p>
            <w:r>
              <w:rPr>
                <w:b w:val="false"/>
                <w:bCs w:val="false"/>
                <w:sz w:val="20"/>
                <w:szCs w:val="20"/>
              </w:rPr>
              <w:t xml:space="preserve">Environment &amp; data audit</w:t>
            </w:r>
          </w:p>
        </w:tc>
        <w:tc>
          <w:tcPr>
            <w:tcW w:type="dxa" w:w="2000"/>
            <w:tcMar>
              <w:top w:type="dxa" w:w="80"/>
              <w:left w:type="dxa" w:w="100"/>
              <w:bottom w:type="dxa" w:w="80"/>
              <w:right w:type="dxa" w:w="100"/>
            </w:tcMar>
          </w:tcPr>
          <w:p>
            <w:r>
              <w:rPr>
                <w:b w:val="false"/>
                <w:bCs w:val="false"/>
                <w:sz w:val="20"/>
                <w:szCs w:val="20"/>
              </w:rPr>
              <w:t xml:space="preserve">~1 week</w:t>
            </w:r>
          </w:p>
        </w:tc>
        <w:tc>
          <w:tcPr>
            <w:tcW w:type="dxa" w:w="3400"/>
            <w:tcMar>
              <w:top w:type="dxa" w:w="80"/>
              <w:left w:type="dxa" w:w="100"/>
              <w:bottom w:type="dxa" w:w="80"/>
              <w:right w:type="dxa" w:w="100"/>
            </w:tcMar>
          </w:tcPr>
          <w:p>
            <w:r>
              <w:rPr>
                <w:b w:val="false"/>
                <w:bCs w:val="false"/>
                <w:sz w:val="20"/>
                <w:szCs w:val="20"/>
              </w:rPr>
              <w:t xml:space="preserve">Python env, DuckDB set up; raw 10-season FBS box-score dump pulled to confirm what's actually clean and available</w:t>
            </w:r>
          </w:p>
        </w:tc>
      </w:tr>
      <w:tr>
        <w:tc>
          <w:tcPr>
            <w:tcW w:type="dxa" w:w="900"/>
            <w:tcMar>
              <w:top w:type="dxa" w:w="80"/>
              <w:left w:type="dxa" w:w="100"/>
              <w:bottom w:type="dxa" w:w="80"/>
              <w:right w:type="dxa" w:w="100"/>
            </w:tcMar>
          </w:tcPr>
          <w:p>
            <w:r>
              <w:rPr>
                <w:b w:val="false"/>
                <w:bCs w:val="false"/>
                <w:sz w:val="20"/>
                <w:szCs w:val="20"/>
              </w:rPr>
              <w:t xml:space="preserve">1</w:t>
            </w:r>
          </w:p>
        </w:tc>
        <w:tc>
          <w:tcPr>
            <w:tcW w:type="dxa" w:w="3000"/>
            <w:tcMar>
              <w:top w:type="dxa" w:w="80"/>
              <w:left w:type="dxa" w:w="100"/>
              <w:bottom w:type="dxa" w:w="80"/>
              <w:right w:type="dxa" w:w="100"/>
            </w:tcMar>
          </w:tcPr>
          <w:p>
            <w:r>
              <w:rPr>
                <w:b w:val="false"/>
                <w:bCs w:val="false"/>
                <w:sz w:val="20"/>
                <w:szCs w:val="20"/>
              </w:rPr>
              <w:t xml:space="preserve">Historical backfill &amp; cleaning</w:t>
            </w:r>
          </w:p>
        </w:tc>
        <w:tc>
          <w:tcPr>
            <w:tcW w:type="dxa" w:w="2000"/>
            <w:tcMar>
              <w:top w:type="dxa" w:w="80"/>
              <w:left w:type="dxa" w:w="100"/>
              <w:bottom w:type="dxa" w:w="80"/>
              <w:right w:type="dxa" w:w="100"/>
            </w:tcMar>
          </w:tcPr>
          <w:p>
            <w:r>
              <w:rPr>
                <w:b w:val="false"/>
                <w:bCs w:val="false"/>
                <w:sz w:val="20"/>
                <w:szCs w:val="20"/>
              </w:rPr>
              <w:t xml:space="preserve">2–3 weeks</w:t>
            </w:r>
          </w:p>
        </w:tc>
        <w:tc>
          <w:tcPr>
            <w:tcW w:type="dxa" w:w="3400"/>
            <w:tcMar>
              <w:top w:type="dxa" w:w="80"/>
              <w:left w:type="dxa" w:w="100"/>
              <w:bottom w:type="dxa" w:w="80"/>
              <w:right w:type="dxa" w:w="100"/>
            </w:tcMar>
          </w:tcPr>
          <w:p>
            <w:r>
              <w:rPr>
                <w:b w:val="false"/>
                <w:bCs w:val="false"/>
                <w:sz w:val="20"/>
                <w:szCs w:val="20"/>
              </w:rPr>
              <w:t xml:space="preserve">Canonical team-ID crosswalk; stats + lines + weather joined into one game-level table</w:t>
            </w:r>
          </w:p>
        </w:tc>
      </w:tr>
      <w:tr>
        <w:tc>
          <w:tcPr>
            <w:tcW w:type="dxa" w:w="900"/>
            <w:tcMar>
              <w:top w:type="dxa" w:w="80"/>
              <w:left w:type="dxa" w:w="100"/>
              <w:bottom w:type="dxa" w:w="80"/>
              <w:right w:type="dxa" w:w="100"/>
            </w:tcMar>
          </w:tcPr>
          <w:p>
            <w:r>
              <w:rPr>
                <w:b w:val="false"/>
                <w:bCs w:val="false"/>
                <w:sz w:val="20"/>
                <w:szCs w:val="20"/>
              </w:rPr>
              <w:t xml:space="preserve">2</w:t>
            </w:r>
          </w:p>
        </w:tc>
        <w:tc>
          <w:tcPr>
            <w:tcW w:type="dxa" w:w="3000"/>
            <w:tcMar>
              <w:top w:type="dxa" w:w="80"/>
              <w:left w:type="dxa" w:w="100"/>
              <w:bottom w:type="dxa" w:w="80"/>
              <w:right w:type="dxa" w:w="100"/>
            </w:tcMar>
          </w:tcPr>
          <w:p>
            <w:r>
              <w:rPr>
                <w:b w:val="false"/>
                <w:bCs w:val="false"/>
                <w:sz w:val="20"/>
                <w:szCs w:val="20"/>
              </w:rPr>
              <w:t xml:space="preserve">Feature engineering &amp; baseline power ratings</w:t>
            </w:r>
          </w:p>
        </w:tc>
        <w:tc>
          <w:tcPr>
            <w:tcW w:type="dxa" w:w="2000"/>
            <w:tcMar>
              <w:top w:type="dxa" w:w="80"/>
              <w:left w:type="dxa" w:w="100"/>
              <w:bottom w:type="dxa" w:w="80"/>
              <w:right w:type="dxa" w:w="100"/>
            </w:tcMar>
          </w:tcPr>
          <w:p>
            <w:r>
              <w:rPr>
                <w:b w:val="false"/>
                <w:bCs w:val="false"/>
                <w:sz w:val="20"/>
                <w:szCs w:val="20"/>
              </w:rPr>
              <w:t xml:space="preserve">1–2 weeks</w:t>
            </w:r>
          </w:p>
        </w:tc>
        <w:tc>
          <w:tcPr>
            <w:tcW w:type="dxa" w:w="3400"/>
            <w:tcMar>
              <w:top w:type="dxa" w:w="80"/>
              <w:left w:type="dxa" w:w="100"/>
              <w:bottom w:type="dxa" w:w="80"/>
              <w:right w:type="dxa" w:w="100"/>
            </w:tcMar>
          </w:tcPr>
          <w:p>
            <w:r>
              <w:rPr>
                <w:b w:val="false"/>
                <w:bCs w:val="false"/>
                <w:sz w:val="20"/>
                <w:szCs w:val="20"/>
              </w:rPr>
              <w:t xml:space="preserve">Elo/Massey-style baseline rating running end-to-end</w:t>
            </w:r>
          </w:p>
        </w:tc>
      </w:tr>
      <w:tr>
        <w:tc>
          <w:tcPr>
            <w:tcW w:type="dxa" w:w="900"/>
            <w:tcMar>
              <w:top w:type="dxa" w:w="80"/>
              <w:left w:type="dxa" w:w="100"/>
              <w:bottom w:type="dxa" w:w="80"/>
              <w:right w:type="dxa" w:w="100"/>
            </w:tcMar>
          </w:tcPr>
          <w:p>
            <w:r>
              <w:rPr>
                <w:b w:val="false"/>
                <w:bCs w:val="false"/>
                <w:sz w:val="20"/>
                <w:szCs w:val="20"/>
              </w:rPr>
              <w:t xml:space="preserve">3</w:t>
            </w:r>
          </w:p>
        </w:tc>
        <w:tc>
          <w:tcPr>
            <w:tcW w:type="dxa" w:w="3000"/>
            <w:tcMar>
              <w:top w:type="dxa" w:w="80"/>
              <w:left w:type="dxa" w:w="100"/>
              <w:bottom w:type="dxa" w:w="80"/>
              <w:right w:type="dxa" w:w="100"/>
            </w:tcMar>
          </w:tcPr>
          <w:p>
            <w:r>
              <w:rPr>
                <w:b w:val="false"/>
                <w:bCs w:val="false"/>
                <w:sz w:val="20"/>
                <w:szCs w:val="20"/>
              </w:rPr>
              <w:t xml:space="preserve">Regression model &amp; backtest harness</w:t>
            </w:r>
          </w:p>
        </w:tc>
        <w:tc>
          <w:tcPr>
            <w:tcW w:type="dxa" w:w="2000"/>
            <w:tcMar>
              <w:top w:type="dxa" w:w="80"/>
              <w:left w:type="dxa" w:w="100"/>
              <w:bottom w:type="dxa" w:w="80"/>
              <w:right w:type="dxa" w:w="100"/>
            </w:tcMar>
          </w:tcPr>
          <w:p>
            <w:r>
              <w:rPr>
                <w:b w:val="false"/>
                <w:bCs w:val="false"/>
                <w:sz w:val="20"/>
                <w:szCs w:val="20"/>
              </w:rPr>
              <w:t xml:space="preserve">2–3 weeks</w:t>
            </w:r>
          </w:p>
        </w:tc>
        <w:tc>
          <w:tcPr>
            <w:tcW w:type="dxa" w:w="3400"/>
            <w:tcMar>
              <w:top w:type="dxa" w:w="80"/>
              <w:left w:type="dxa" w:w="100"/>
              <w:bottom w:type="dxa" w:w="80"/>
              <w:right w:type="dxa" w:w="100"/>
            </w:tcMar>
          </w:tcPr>
          <w:p>
            <w:r>
              <w:rPr>
                <w:b w:val="false"/>
                <w:bCs w:val="false"/>
                <w:sz w:val="20"/>
                <w:szCs w:val="20"/>
              </w:rPr>
              <w:t xml:space="preserve">Walk-forward backtest across all FBS, then filtered to MW-involved games; CLV/ROI/calibration reporting</w:t>
            </w:r>
          </w:p>
        </w:tc>
      </w:tr>
      <w:tr>
        <w:tc>
          <w:tcPr>
            <w:tcW w:type="dxa" w:w="900"/>
            <w:tcMar>
              <w:top w:type="dxa" w:w="80"/>
              <w:left w:type="dxa" w:w="100"/>
              <w:bottom w:type="dxa" w:w="80"/>
              <w:right w:type="dxa" w:w="100"/>
            </w:tcMar>
          </w:tcPr>
          <w:p>
            <w:r>
              <w:rPr>
                <w:b w:val="false"/>
                <w:bCs w:val="false"/>
                <w:sz w:val="20"/>
                <w:szCs w:val="20"/>
              </w:rPr>
              <w:t xml:space="preserve">4</w:t>
            </w:r>
          </w:p>
        </w:tc>
        <w:tc>
          <w:tcPr>
            <w:tcW w:type="dxa" w:w="3000"/>
            <w:tcMar>
              <w:top w:type="dxa" w:w="80"/>
              <w:left w:type="dxa" w:w="100"/>
              <w:bottom w:type="dxa" w:w="80"/>
              <w:right w:type="dxa" w:w="100"/>
            </w:tcMar>
          </w:tcPr>
          <w:p>
            <w:r>
              <w:rPr>
                <w:b w:val="false"/>
                <w:bCs w:val="false"/>
                <w:sz w:val="20"/>
                <w:szCs w:val="20"/>
              </w:rPr>
              <w:t xml:space="preserve">Excel dashboard &amp; bet log</w:t>
            </w:r>
          </w:p>
        </w:tc>
        <w:tc>
          <w:tcPr>
            <w:tcW w:type="dxa" w:w="2000"/>
            <w:tcMar>
              <w:top w:type="dxa" w:w="80"/>
              <w:left w:type="dxa" w:w="100"/>
              <w:bottom w:type="dxa" w:w="80"/>
              <w:right w:type="dxa" w:w="100"/>
            </w:tcMar>
          </w:tcPr>
          <w:p>
            <w:r>
              <w:rPr>
                <w:b w:val="false"/>
                <w:bCs w:val="false"/>
                <w:sz w:val="20"/>
                <w:szCs w:val="20"/>
              </w:rPr>
              <w:t xml:space="preserve">~1 week</w:t>
            </w:r>
          </w:p>
        </w:tc>
        <w:tc>
          <w:tcPr>
            <w:tcW w:type="dxa" w:w="3400"/>
            <w:tcMar>
              <w:top w:type="dxa" w:w="80"/>
              <w:left w:type="dxa" w:w="100"/>
              <w:bottom w:type="dxa" w:w="80"/>
              <w:right w:type="dxa" w:w="100"/>
            </w:tcMar>
          </w:tcPr>
          <w:p>
            <w:r>
              <w:rPr>
                <w:b w:val="false"/>
                <w:bCs w:val="false"/>
                <w:sz w:val="20"/>
                <w:szCs w:val="20"/>
              </w:rPr>
              <w:t xml:space="preserve">Weekly Slate, Bet Log, and Team Profiles tabs wired to the pipeline output</w:t>
            </w:r>
          </w:p>
        </w:tc>
      </w:tr>
      <w:tr>
        <w:tc>
          <w:tcPr>
            <w:tcW w:type="dxa" w:w="900"/>
            <w:tcMar>
              <w:top w:type="dxa" w:w="80"/>
              <w:left w:type="dxa" w:w="100"/>
              <w:bottom w:type="dxa" w:w="80"/>
              <w:right w:type="dxa" w:w="100"/>
            </w:tcMar>
          </w:tcPr>
          <w:p>
            <w:r>
              <w:rPr>
                <w:b w:val="false"/>
                <w:bCs w:val="false"/>
                <w:sz w:val="20"/>
                <w:szCs w:val="20"/>
              </w:rPr>
              <w:t xml:space="preserve">5</w:t>
            </w:r>
          </w:p>
        </w:tc>
        <w:tc>
          <w:tcPr>
            <w:tcW w:type="dxa" w:w="3000"/>
            <w:tcMar>
              <w:top w:type="dxa" w:w="80"/>
              <w:left w:type="dxa" w:w="100"/>
              <w:bottom w:type="dxa" w:w="80"/>
              <w:right w:type="dxa" w:w="100"/>
            </w:tcMar>
          </w:tcPr>
          <w:p>
            <w:r>
              <w:rPr>
                <w:b w:val="false"/>
                <w:bCs w:val="false"/>
                <w:sz w:val="20"/>
                <w:szCs w:val="20"/>
              </w:rPr>
              <w:t xml:space="preserve">Dry run</w:t>
            </w:r>
          </w:p>
        </w:tc>
        <w:tc>
          <w:tcPr>
            <w:tcW w:type="dxa" w:w="2000"/>
            <w:tcMar>
              <w:top w:type="dxa" w:w="80"/>
              <w:left w:type="dxa" w:w="100"/>
              <w:bottom w:type="dxa" w:w="80"/>
              <w:right w:type="dxa" w:w="100"/>
            </w:tcMar>
          </w:tcPr>
          <w:p>
            <w:r>
              <w:rPr>
                <w:b w:val="false"/>
                <w:bCs w:val="false"/>
                <w:sz w:val="20"/>
                <w:szCs w:val="20"/>
              </w:rPr>
              <w:t xml:space="preserve">Preseason / Week 0–1</w:t>
            </w:r>
          </w:p>
        </w:tc>
        <w:tc>
          <w:tcPr>
            <w:tcW w:type="dxa" w:w="3400"/>
            <w:tcMar>
              <w:top w:type="dxa" w:w="80"/>
              <w:left w:type="dxa" w:w="100"/>
              <w:bottom w:type="dxa" w:w="80"/>
              <w:right w:type="dxa" w:w="100"/>
            </w:tcMar>
          </w:tcPr>
          <w:p>
            <w:r>
              <w:rPr>
                <w:b w:val="false"/>
                <w:bCs w:val="false"/>
                <w:sz w:val="20"/>
                <w:szCs w:val="20"/>
              </w:rPr>
              <w:t xml:space="preserve">Full weekly workflow rehearsed with no money at stake</w:t>
            </w:r>
          </w:p>
        </w:tc>
      </w:tr>
      <w:tr>
        <w:tc>
          <w:tcPr>
            <w:tcW w:type="dxa" w:w="900"/>
            <w:tcMar>
              <w:top w:type="dxa" w:w="80"/>
              <w:left w:type="dxa" w:w="100"/>
              <w:bottom w:type="dxa" w:w="80"/>
              <w:right w:type="dxa" w:w="100"/>
            </w:tcMar>
          </w:tcPr>
          <w:p>
            <w:r>
              <w:rPr>
                <w:b w:val="false"/>
                <w:bCs w:val="false"/>
                <w:sz w:val="20"/>
                <w:szCs w:val="20"/>
              </w:rPr>
              <w:t xml:space="preserve">6</w:t>
            </w:r>
          </w:p>
        </w:tc>
        <w:tc>
          <w:tcPr>
            <w:tcW w:type="dxa" w:w="3000"/>
            <w:tcMar>
              <w:top w:type="dxa" w:w="80"/>
              <w:left w:type="dxa" w:w="100"/>
              <w:bottom w:type="dxa" w:w="80"/>
              <w:right w:type="dxa" w:w="100"/>
            </w:tcMar>
          </w:tcPr>
          <w:p>
            <w:r>
              <w:rPr>
                <w:b w:val="false"/>
                <w:bCs w:val="false"/>
                <w:sz w:val="20"/>
                <w:szCs w:val="20"/>
              </w:rPr>
              <w:t xml:space="preserve">In-season execution</w:t>
            </w:r>
          </w:p>
        </w:tc>
        <w:tc>
          <w:tcPr>
            <w:tcW w:type="dxa" w:w="2000"/>
            <w:tcMar>
              <w:top w:type="dxa" w:w="80"/>
              <w:left w:type="dxa" w:w="100"/>
              <w:bottom w:type="dxa" w:w="80"/>
              <w:right w:type="dxa" w:w="100"/>
            </w:tcMar>
          </w:tcPr>
          <w:p>
            <w:r>
              <w:rPr>
                <w:b w:val="false"/>
                <w:bCs w:val="false"/>
                <w:sz w:val="20"/>
                <w:szCs w:val="20"/>
              </w:rPr>
              <w:t xml:space="preserve">All season</w:t>
            </w:r>
          </w:p>
        </w:tc>
        <w:tc>
          <w:tcPr>
            <w:tcW w:type="dxa" w:w="3400"/>
            <w:tcMar>
              <w:top w:type="dxa" w:w="80"/>
              <w:left w:type="dxa" w:w="100"/>
              <w:bottom w:type="dxa" w:w="80"/>
              <w:right w:type="dxa" w:w="100"/>
            </w:tcMar>
          </w:tcPr>
          <w:p>
            <w:r>
              <w:rPr>
                <w:b w:val="false"/>
                <w:bCs w:val="false"/>
                <w:sz w:val="20"/>
                <w:szCs w:val="20"/>
              </w:rPr>
              <w:t xml:space="preserve">Weekly recalibration per the workflow above</w:t>
            </w:r>
          </w:p>
        </w:tc>
      </w:tr>
      <w:tr>
        <w:tc>
          <w:tcPr>
            <w:tcW w:type="dxa" w:w="900"/>
            <w:tcMar>
              <w:top w:type="dxa" w:w="80"/>
              <w:left w:type="dxa" w:w="100"/>
              <w:bottom w:type="dxa" w:w="80"/>
              <w:right w:type="dxa" w:w="100"/>
            </w:tcMar>
          </w:tcPr>
          <w:p>
            <w:r>
              <w:rPr>
                <w:b w:val="false"/>
                <w:bCs w:val="false"/>
                <w:sz w:val="20"/>
                <w:szCs w:val="20"/>
              </w:rPr>
              <w:t xml:space="preserve">7</w:t>
            </w:r>
          </w:p>
        </w:tc>
        <w:tc>
          <w:tcPr>
            <w:tcW w:type="dxa" w:w="3000"/>
            <w:tcMar>
              <w:top w:type="dxa" w:w="80"/>
              <w:left w:type="dxa" w:w="100"/>
              <w:bottom w:type="dxa" w:w="80"/>
              <w:right w:type="dxa" w:w="100"/>
            </w:tcMar>
          </w:tcPr>
          <w:p>
            <w:r>
              <w:rPr>
                <w:b w:val="false"/>
                <w:bCs w:val="false"/>
                <w:sz w:val="20"/>
                <w:szCs w:val="20"/>
              </w:rPr>
              <w:t xml:space="preserve">Postseason review</w:t>
            </w:r>
          </w:p>
        </w:tc>
        <w:tc>
          <w:tcPr>
            <w:tcW w:type="dxa" w:w="2000"/>
            <w:tcMar>
              <w:top w:type="dxa" w:w="80"/>
              <w:left w:type="dxa" w:w="100"/>
              <w:bottom w:type="dxa" w:w="80"/>
              <w:right w:type="dxa" w:w="100"/>
            </w:tcMar>
          </w:tcPr>
          <w:p>
            <w:r>
              <w:rPr>
                <w:b w:val="false"/>
                <w:bCs w:val="false"/>
                <w:sz w:val="20"/>
                <w:szCs w:val="20"/>
              </w:rPr>
              <w:t xml:space="preserve">Offseason</w:t>
            </w:r>
          </w:p>
        </w:tc>
        <w:tc>
          <w:tcPr>
            <w:tcW w:type="dxa" w:w="3400"/>
            <w:tcMar>
              <w:top w:type="dxa" w:w="80"/>
              <w:left w:type="dxa" w:w="100"/>
              <w:bottom w:type="dxa" w:w="80"/>
              <w:right w:type="dxa" w:w="100"/>
            </w:tcMar>
          </w:tcPr>
          <w:p>
            <w:r>
              <w:rPr>
                <w:b w:val="false"/>
                <w:bCs w:val="false"/>
                <w:sz w:val="20"/>
                <w:szCs w:val="20"/>
              </w:rPr>
              <w:t xml:space="preserve">Full-season CLV/ROI audit; model iteration for next year</w:t>
            </w:r>
          </w:p>
        </w:tc>
      </w:tr>
    </w:tbl>
    <w:p>
      <w:pPr>
        <w:pStyle w:val="Heading1"/>
        <w:spacing w:after="160" w:before="360"/>
      </w:pPr>
      <w:r>
        <w:t xml:space="preserve">10. Tech Stack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shd w:fill="D9E2F3" w:val="clear"/>
            <w:tcMar>
              <w:top w:type="dxa" w:w="80"/>
              <w:left w:type="dxa" w:w="100"/>
              <w:bottom w:type="dxa" w:w="80"/>
              <w:right w:type="dxa" w:w="100"/>
            </w:tcMar>
          </w:tcPr>
          <w:p>
            <w:r>
              <w:rPr>
                <w:b/>
                <w:bCs/>
                <w:sz w:val="20"/>
                <w:szCs w:val="20"/>
              </w:rPr>
              <w:t xml:space="preserve">Layer</w:t>
            </w:r>
          </w:p>
        </w:tc>
        <w:tc>
          <w:tcPr>
            <w:tcW w:type="dxa" w:w="7400"/>
            <w:shd w:fill="D9E2F3" w:val="clear"/>
            <w:tcMar>
              <w:top w:type="dxa" w:w="80"/>
              <w:left w:type="dxa" w:w="100"/>
              <w:bottom w:type="dxa" w:w="80"/>
              <w:right w:type="dxa" w:w="100"/>
            </w:tcMar>
          </w:tcPr>
          <w:p>
            <w:r>
              <w:rPr>
                <w:b/>
                <w:bCs/>
                <w:sz w:val="20"/>
                <w:szCs w:val="20"/>
              </w:rPr>
              <w:t xml:space="preserve">Tools</w:t>
            </w:r>
          </w:p>
        </w:tc>
      </w:tr>
      <w:tr>
        <w:tc>
          <w:tcPr>
            <w:tcW w:type="dxa" w:w="2400"/>
            <w:tcMar>
              <w:top w:type="dxa" w:w="80"/>
              <w:left w:type="dxa" w:w="100"/>
              <w:bottom w:type="dxa" w:w="80"/>
              <w:right w:type="dxa" w:w="100"/>
            </w:tcMar>
          </w:tcPr>
          <w:p>
            <w:r>
              <w:rPr>
                <w:b w:val="false"/>
                <w:bCs w:val="false"/>
                <w:sz w:val="20"/>
                <w:szCs w:val="20"/>
              </w:rPr>
              <w:t xml:space="preserve">Data pull</w:t>
            </w:r>
          </w:p>
        </w:tc>
        <w:tc>
          <w:tcPr>
            <w:tcW w:type="dxa" w:w="7400"/>
            <w:tcMar>
              <w:top w:type="dxa" w:w="80"/>
              <w:left w:type="dxa" w:w="100"/>
              <w:bottom w:type="dxa" w:w="80"/>
              <w:right w:type="dxa" w:w="100"/>
            </w:tcMar>
          </w:tcPr>
          <w:p>
            <w:r>
              <w:rPr>
                <w:b w:val="false"/>
                <w:bCs w:val="false"/>
                <w:sz w:val="20"/>
                <w:szCs w:val="20"/>
              </w:rPr>
              <w:t xml:space="preserve">Python: cfbd (official client), requests, pandas</w:t>
            </w:r>
          </w:p>
        </w:tc>
      </w:tr>
      <w:tr>
        <w:tc>
          <w:tcPr>
            <w:tcW w:type="dxa" w:w="2400"/>
            <w:tcMar>
              <w:top w:type="dxa" w:w="80"/>
              <w:left w:type="dxa" w:w="100"/>
              <w:bottom w:type="dxa" w:w="80"/>
              <w:right w:type="dxa" w:w="100"/>
            </w:tcMar>
          </w:tcPr>
          <w:p>
            <w:r>
              <w:rPr>
                <w:b w:val="false"/>
                <w:bCs w:val="false"/>
                <w:sz w:val="20"/>
                <w:szCs w:val="20"/>
              </w:rPr>
              <w:t xml:space="preserve">Storage</w:t>
            </w:r>
          </w:p>
        </w:tc>
        <w:tc>
          <w:tcPr>
            <w:tcW w:type="dxa" w:w="7400"/>
            <w:tcMar>
              <w:top w:type="dxa" w:w="80"/>
              <w:left w:type="dxa" w:w="100"/>
              <w:bottom w:type="dxa" w:w="80"/>
              <w:right w:type="dxa" w:w="100"/>
            </w:tcMar>
          </w:tcPr>
          <w:p>
            <w:r>
              <w:rPr>
                <w:b w:val="false"/>
                <w:bCs w:val="false"/>
                <w:sz w:val="20"/>
                <w:szCs w:val="20"/>
              </w:rPr>
              <w:t xml:space="preserve">DuckDB or SQLite (single file, no server)</w:t>
            </w:r>
          </w:p>
        </w:tc>
      </w:tr>
      <w:tr>
        <w:tc>
          <w:tcPr>
            <w:tcW w:type="dxa" w:w="2400"/>
            <w:tcMar>
              <w:top w:type="dxa" w:w="80"/>
              <w:left w:type="dxa" w:w="100"/>
              <w:bottom w:type="dxa" w:w="80"/>
              <w:right w:type="dxa" w:w="100"/>
            </w:tcMar>
          </w:tcPr>
          <w:p>
            <w:r>
              <w:rPr>
                <w:b w:val="false"/>
                <w:bCs w:val="false"/>
                <w:sz w:val="20"/>
                <w:szCs w:val="20"/>
              </w:rPr>
              <w:t xml:space="preserve">Modeling</w:t>
            </w:r>
          </w:p>
        </w:tc>
        <w:tc>
          <w:tcPr>
            <w:tcW w:type="dxa" w:w="7400"/>
            <w:tcMar>
              <w:top w:type="dxa" w:w="80"/>
              <w:left w:type="dxa" w:w="100"/>
              <w:bottom w:type="dxa" w:w="80"/>
              <w:right w:type="dxa" w:w="100"/>
            </w:tcMar>
          </w:tcPr>
          <w:p>
            <w:r>
              <w:rPr>
                <w:b w:val="false"/>
                <w:bCs w:val="false"/>
                <w:sz w:val="20"/>
                <w:szCs w:val="20"/>
              </w:rPr>
              <w:t xml:space="preserve">pandas, numpy, scikit-learn (ridge/elastic-net); optionally xgboost/lightgbm later</w:t>
            </w:r>
          </w:p>
        </w:tc>
      </w:tr>
      <w:tr>
        <w:tc>
          <w:tcPr>
            <w:tcW w:type="dxa" w:w="2400"/>
            <w:tcMar>
              <w:top w:type="dxa" w:w="80"/>
              <w:left w:type="dxa" w:w="100"/>
              <w:bottom w:type="dxa" w:w="80"/>
              <w:right w:type="dxa" w:w="100"/>
            </w:tcMar>
          </w:tcPr>
          <w:p>
            <w:r>
              <w:rPr>
                <w:b w:val="false"/>
                <w:bCs w:val="false"/>
                <w:sz w:val="20"/>
                <w:szCs w:val="20"/>
              </w:rPr>
              <w:t xml:space="preserve">Exploration</w:t>
            </w:r>
          </w:p>
        </w:tc>
        <w:tc>
          <w:tcPr>
            <w:tcW w:type="dxa" w:w="7400"/>
            <w:tcMar>
              <w:top w:type="dxa" w:w="80"/>
              <w:left w:type="dxa" w:w="100"/>
              <w:bottom w:type="dxa" w:w="80"/>
              <w:right w:type="dxa" w:w="100"/>
            </w:tcMar>
          </w:tcPr>
          <w:p>
            <w:r>
              <w:rPr>
                <w:b w:val="false"/>
                <w:bCs w:val="false"/>
                <w:sz w:val="20"/>
                <w:szCs w:val="20"/>
              </w:rPr>
              <w:t xml:space="preserve">Jupyter notebooks for EDA and model iteration</w:t>
            </w:r>
          </w:p>
        </w:tc>
      </w:tr>
      <w:tr>
        <w:tc>
          <w:tcPr>
            <w:tcW w:type="dxa" w:w="2400"/>
            <w:tcMar>
              <w:top w:type="dxa" w:w="80"/>
              <w:left w:type="dxa" w:w="100"/>
              <w:bottom w:type="dxa" w:w="80"/>
              <w:right w:type="dxa" w:w="100"/>
            </w:tcMar>
          </w:tcPr>
          <w:p>
            <w:r>
              <w:rPr>
                <w:b w:val="false"/>
                <w:bCs w:val="false"/>
                <w:sz w:val="20"/>
                <w:szCs w:val="20"/>
              </w:rPr>
              <w:t xml:space="preserve">Tracking / review</w:t>
            </w:r>
          </w:p>
        </w:tc>
        <w:tc>
          <w:tcPr>
            <w:tcW w:type="dxa" w:w="7400"/>
            <w:tcMar>
              <w:top w:type="dxa" w:w="80"/>
              <w:left w:type="dxa" w:w="100"/>
              <w:bottom w:type="dxa" w:w="80"/>
              <w:right w:type="dxa" w:w="100"/>
            </w:tcMar>
          </w:tcPr>
          <w:p>
            <w:r>
              <w:rPr>
                <w:b w:val="false"/>
                <w:bCs w:val="false"/>
                <w:sz w:val="20"/>
                <w:szCs w:val="20"/>
              </w:rPr>
              <w:t xml:space="preserve">Excel with Power Query refresh from the DuckDB/CSV output</w:t>
            </w:r>
          </w:p>
        </w:tc>
      </w:tr>
      <w:tr>
        <w:tc>
          <w:tcPr>
            <w:tcW w:type="dxa" w:w="2400"/>
            <w:tcMar>
              <w:top w:type="dxa" w:w="80"/>
              <w:left w:type="dxa" w:w="100"/>
              <w:bottom w:type="dxa" w:w="80"/>
              <w:right w:type="dxa" w:w="100"/>
            </w:tcMar>
          </w:tcPr>
          <w:p>
            <w:r>
              <w:rPr>
                <w:b w:val="false"/>
                <w:bCs w:val="false"/>
                <w:sz w:val="20"/>
                <w:szCs w:val="20"/>
              </w:rPr>
              <w:t xml:space="preserve">Version control</w:t>
            </w:r>
          </w:p>
        </w:tc>
        <w:tc>
          <w:tcPr>
            <w:tcW w:type="dxa" w:w="7400"/>
            <w:tcMar>
              <w:top w:type="dxa" w:w="80"/>
              <w:left w:type="dxa" w:w="100"/>
              <w:bottom w:type="dxa" w:w="80"/>
              <w:right w:type="dxa" w:w="100"/>
            </w:tcMar>
          </w:tcPr>
          <w:p>
            <w:r>
              <w:rPr>
                <w:b w:val="false"/>
                <w:bCs w:val="false"/>
                <w:sz w:val="20"/>
                <w:szCs w:val="20"/>
              </w:rPr>
              <w:t xml:space="preserve">git — track the pipeline scripts and model versions, not just the data</w:t>
            </w:r>
          </w:p>
        </w:tc>
      </w:tr>
    </w:tbl>
    <w:p>
      <w:pPr>
        <w:pStyle w:val="Heading1"/>
        <w:spacing w:after="160" w:before="360"/>
      </w:pPr>
      <w:r>
        <w:t xml:space="preserve">A Closing Note</w:t>
      </w:r>
    </w:p>
    <w:p>
      <w:pPr>
        <w:spacing w:after="160"/>
      </w:pPr>
      <w:r>
        <w:t xml:space="preserve">No model here guarantees profit, and sports betting carries real financial risk — that's exactly why Sections 6 and 8 build in CLV tracking and an honest bet log: they exist to tell you, with real numbers, whether you actually have an edge before you scale up stakes. I'd strongly recommend paper-trading the picks (tracking them without betting real money) through the early part of the season, or betting only minimal stakes, until the backtest and live CLV both agree the model is doing something real.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2026-08-20T18:45:22.374Z</dcterms:created>
  <dcterms:modified xsi:type="dcterms:W3CDTF">2026-08-20T18:45:22.374Z</dcterms:modified>
</cp:coreProperties>
</file>

<file path=docProps/custom.xml><?xml version="1.0" encoding="utf-8"?>
<Properties xmlns="http://schemas.openxmlformats.org/officeDocument/2006/custom-properties" xmlns:vt="http://schemas.openxmlformats.org/officeDocument/2006/docPropsVTypes"/>
</file>