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2CB00" w14:textId="0F164DF5" w:rsidR="00480C82" w:rsidRDefault="00480C82">
      <w:pPr>
        <w:rPr>
          <w:b/>
        </w:rPr>
      </w:pPr>
      <w:r>
        <w:rPr>
          <w:b/>
        </w:rPr>
        <w:t xml:space="preserve">Differential Sea Lice </w:t>
      </w:r>
      <w:r w:rsidR="000F2FCD">
        <w:rPr>
          <w:b/>
        </w:rPr>
        <w:t xml:space="preserve">Loads </w:t>
      </w:r>
      <w:r>
        <w:rPr>
          <w:b/>
        </w:rPr>
        <w:t>on Pacific Salmon</w:t>
      </w:r>
      <w:r w:rsidR="003D4AAC">
        <w:rPr>
          <w:b/>
        </w:rPr>
        <w:t xml:space="preserve"> Species</w:t>
      </w:r>
    </w:p>
    <w:p w14:paraId="4B8ADF6B" w14:textId="55C5F448" w:rsidR="00480C82" w:rsidRDefault="00480C82" w:rsidP="003D4AAC">
      <w:r>
        <w:t>What follows are some preliminary results</w:t>
      </w:r>
      <w:r w:rsidR="00A26A7A">
        <w:t>, with the findings indicating that</w:t>
      </w:r>
      <w:r>
        <w:t xml:space="preserve"> two species of sea lice (</w:t>
      </w:r>
      <w:r>
        <w:rPr>
          <w:i/>
        </w:rPr>
        <w:t xml:space="preserve">C. </w:t>
      </w:r>
      <w:proofErr w:type="spellStart"/>
      <w:r>
        <w:rPr>
          <w:i/>
        </w:rPr>
        <w:t>clemensi</w:t>
      </w:r>
      <w:proofErr w:type="spellEnd"/>
      <w:r>
        <w:rPr>
          <w:i/>
        </w:rPr>
        <w:t xml:space="preserve"> </w:t>
      </w:r>
      <w:r>
        <w:t xml:space="preserve">and </w:t>
      </w:r>
      <w:r>
        <w:rPr>
          <w:i/>
        </w:rPr>
        <w:t xml:space="preserve">L. </w:t>
      </w:r>
      <w:proofErr w:type="spellStart"/>
      <w:r>
        <w:rPr>
          <w:i/>
        </w:rPr>
        <w:t>salmonis</w:t>
      </w:r>
      <w:proofErr w:type="spellEnd"/>
      <w:r>
        <w:t xml:space="preserve">) are present </w:t>
      </w:r>
      <w:r w:rsidR="000F2FCD">
        <w:t xml:space="preserve">at different levels </w:t>
      </w:r>
      <w:r>
        <w:t xml:space="preserve">on three pacific </w:t>
      </w:r>
      <w:r w:rsidR="000F2FCD">
        <w:t xml:space="preserve">juvenile </w:t>
      </w:r>
      <w:r>
        <w:t>salmon species (</w:t>
      </w:r>
      <w:r w:rsidR="003D4AAC">
        <w:t>s</w:t>
      </w:r>
      <w:r>
        <w:t>ockeye (</w:t>
      </w:r>
      <w:r w:rsidRPr="000F2FCD">
        <w:rPr>
          <w:i/>
        </w:rPr>
        <w:t xml:space="preserve">Oncorhynchus </w:t>
      </w:r>
      <w:proofErr w:type="spellStart"/>
      <w:r w:rsidRPr="000F2FCD">
        <w:rPr>
          <w:i/>
        </w:rPr>
        <w:t>nerka</w:t>
      </w:r>
      <w:proofErr w:type="spellEnd"/>
      <w:r w:rsidR="000F2FCD">
        <w:t xml:space="preserve">), </w:t>
      </w:r>
      <w:r w:rsidR="003D4AAC">
        <w:t>p</w:t>
      </w:r>
      <w:r w:rsidR="000F2FCD">
        <w:t>ink (</w:t>
      </w:r>
      <w:r w:rsidR="000F2FCD" w:rsidRPr="000F2FCD">
        <w:rPr>
          <w:i/>
        </w:rPr>
        <w:t xml:space="preserve">Oncorhynchus </w:t>
      </w:r>
      <w:proofErr w:type="spellStart"/>
      <w:r w:rsidR="000F2FCD" w:rsidRPr="000F2FCD">
        <w:rPr>
          <w:i/>
        </w:rPr>
        <w:t>gorbuscha</w:t>
      </w:r>
      <w:proofErr w:type="spellEnd"/>
      <w:r w:rsidR="000F2FCD">
        <w:t xml:space="preserve">), and </w:t>
      </w:r>
      <w:r w:rsidR="003D4AAC">
        <w:t>c</w:t>
      </w:r>
      <w:r w:rsidR="000F2FCD">
        <w:t>hum (</w:t>
      </w:r>
      <w:r w:rsidR="000F2FCD" w:rsidRPr="000F2FCD">
        <w:rPr>
          <w:i/>
        </w:rPr>
        <w:t>Oncorhynchus keta</w:t>
      </w:r>
      <w:r w:rsidR="000F2FCD">
        <w:t xml:space="preserve">)). </w:t>
      </w:r>
    </w:p>
    <w:p w14:paraId="35E4D4BC" w14:textId="2397C21D" w:rsidR="000F2FCD" w:rsidRDefault="000F2FCD" w:rsidP="000F2FCD">
      <w:r w:rsidRPr="00C562FA">
        <w:t>*</w:t>
      </w:r>
      <w:r w:rsidRPr="00C562FA">
        <w:rPr>
          <w:u w:val="single"/>
        </w:rPr>
        <w:t>Note</w:t>
      </w:r>
      <w:r w:rsidRPr="00C562FA">
        <w:t>:*</w:t>
      </w:r>
      <w:r>
        <w:t xml:space="preserve"> A </w:t>
      </w:r>
      <w:r w:rsidRPr="000F2FCD">
        <w:t>collection</w:t>
      </w:r>
      <w:r>
        <w:t xml:space="preserve"> represents a unique sampling location/date combination, with &gt;=5 individuals of each </w:t>
      </w:r>
      <w:r w:rsidR="003D4AAC">
        <w:t xml:space="preserve">of the three </w:t>
      </w:r>
      <w:r>
        <w:t xml:space="preserve">salmon species. </w:t>
      </w:r>
    </w:p>
    <w:p w14:paraId="3969CC40" w14:textId="2ACD9063" w:rsidR="000F2FCD" w:rsidRDefault="000F2FCD"/>
    <w:p w14:paraId="2B28F757" w14:textId="4E5266FE" w:rsidR="000F2FCD" w:rsidRDefault="000F2FCD">
      <w:r>
        <w:rPr>
          <w:noProof/>
        </w:rPr>
        <w:drawing>
          <wp:inline distT="0" distB="0" distL="0" distR="0" wp14:anchorId="3FEDC3B6" wp14:editId="1905A5FD">
            <wp:extent cx="4733925" cy="464232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mberofliceperfishperspplot.png"/>
                    <pic:cNvPicPr/>
                  </pic:nvPicPr>
                  <pic:blipFill>
                    <a:blip r:embed="rId7">
                      <a:extLst>
                        <a:ext uri="{28A0092B-C50C-407E-A947-70E740481C1C}">
                          <a14:useLocalDpi xmlns:a14="http://schemas.microsoft.com/office/drawing/2010/main" val="0"/>
                        </a:ext>
                      </a:extLst>
                    </a:blip>
                    <a:stretch>
                      <a:fillRect/>
                    </a:stretch>
                  </pic:blipFill>
                  <pic:spPr>
                    <a:xfrm>
                      <a:off x="0" y="0"/>
                      <a:ext cx="4741028" cy="4649294"/>
                    </a:xfrm>
                    <a:prstGeom prst="rect">
                      <a:avLst/>
                    </a:prstGeom>
                  </pic:spPr>
                </pic:pic>
              </a:graphicData>
            </a:graphic>
          </wp:inline>
        </w:drawing>
      </w:r>
    </w:p>
    <w:p w14:paraId="4A4605E6" w14:textId="1CA1CE9A" w:rsidR="000F2FCD" w:rsidRDefault="000F2FCD">
      <w:pPr>
        <w:pBdr>
          <w:bottom w:val="single" w:sz="6" w:space="1" w:color="auto"/>
        </w:pBdr>
      </w:pPr>
      <w:r w:rsidRPr="000F2FCD">
        <w:rPr>
          <w:b/>
        </w:rPr>
        <w:t xml:space="preserve">Figure 1: </w:t>
      </w:r>
      <w:r>
        <w:t>Here we see the average number of lice per fish (both lice species</w:t>
      </w:r>
      <w:r w:rsidR="003D4AAC">
        <w:t xml:space="preserve"> as well as individuals at unidentified stages</w:t>
      </w:r>
      <w:r>
        <w:t xml:space="preserve"> combined), for each collection across the data. The colours in each collection represent the species of salmon. It is clear that generally, the sockeye salmon have the highest average number of lice per fish across the data. </w:t>
      </w:r>
    </w:p>
    <w:p w14:paraId="655A9140" w14:textId="77777777" w:rsidR="00F42A9C" w:rsidRDefault="00F42A9C"/>
    <w:p w14:paraId="7EFB9796" w14:textId="14F35BB1" w:rsidR="000F2FCD" w:rsidRDefault="000F2FCD"/>
    <w:p w14:paraId="57115510" w14:textId="4EF936C1" w:rsidR="000F2FCD" w:rsidRDefault="000F2FCD"/>
    <w:p w14:paraId="49B67230" w14:textId="774780BD" w:rsidR="000F2FCD" w:rsidRDefault="000F2FCD"/>
    <w:p w14:paraId="0D22C2AE" w14:textId="099355F8" w:rsidR="000F2FCD" w:rsidRDefault="000F2FCD"/>
    <w:p w14:paraId="4A4FF8B3" w14:textId="17972510" w:rsidR="000F2FCD" w:rsidRDefault="000F2FCD">
      <w:r>
        <w:rPr>
          <w:noProof/>
        </w:rPr>
        <w:drawing>
          <wp:inline distT="0" distB="0" distL="0" distR="0" wp14:anchorId="2984D594" wp14:editId="0B3551FE">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liceperfish-bysp-persppl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3FBE791" w14:textId="77777777" w:rsidR="00F42A9C" w:rsidRPr="00F42A9C" w:rsidRDefault="00F42A9C" w:rsidP="00F42A9C">
      <w:pPr>
        <w:pBdr>
          <w:bottom w:val="single" w:sz="6" w:space="1" w:color="auto"/>
        </w:pBdr>
      </w:pPr>
      <w:r>
        <w:rPr>
          <w:b/>
        </w:rPr>
        <w:t xml:space="preserve">Figure 2: </w:t>
      </w:r>
      <w:r>
        <w:t xml:space="preserve">Here we see the average number of lice per fish in each collection, divided into two plots to separate by louse species, and divided by colour to separate by fish species. ‘C’ shows the average number of </w:t>
      </w:r>
      <w:r>
        <w:rPr>
          <w:i/>
        </w:rPr>
        <w:t xml:space="preserve">C. </w:t>
      </w:r>
      <w:proofErr w:type="spellStart"/>
      <w:r>
        <w:rPr>
          <w:i/>
        </w:rPr>
        <w:t>clemensi</w:t>
      </w:r>
      <w:proofErr w:type="spellEnd"/>
      <w:r>
        <w:rPr>
          <w:i/>
        </w:rPr>
        <w:t xml:space="preserve"> </w:t>
      </w:r>
      <w:r>
        <w:t xml:space="preserve"> per fish, with colour dividing per species. Visually it is clear that sockeye typically have higher average numbers of </w:t>
      </w:r>
      <w:r>
        <w:rPr>
          <w:i/>
        </w:rPr>
        <w:t xml:space="preserve">C. </w:t>
      </w:r>
      <w:proofErr w:type="spellStart"/>
      <w:r>
        <w:rPr>
          <w:i/>
        </w:rPr>
        <w:t>clemensi</w:t>
      </w:r>
      <w:proofErr w:type="spellEnd"/>
      <w:r>
        <w:rPr>
          <w:i/>
        </w:rPr>
        <w:t xml:space="preserve">. </w:t>
      </w:r>
      <w:r>
        <w:t xml:space="preserve">‘L’ shows the average number of </w:t>
      </w:r>
      <w:r>
        <w:rPr>
          <w:i/>
        </w:rPr>
        <w:t xml:space="preserve">L. </w:t>
      </w:r>
      <w:proofErr w:type="spellStart"/>
      <w:r>
        <w:rPr>
          <w:i/>
        </w:rPr>
        <w:t>salmonis</w:t>
      </w:r>
      <w:proofErr w:type="spellEnd"/>
      <w:r>
        <w:rPr>
          <w:i/>
        </w:rPr>
        <w:t xml:space="preserve"> </w:t>
      </w:r>
      <w:r>
        <w:t xml:space="preserve">per fish, with </w:t>
      </w:r>
      <w:r w:rsidRPr="00F42A9C">
        <w:t xml:space="preserve">colour dividing per species. Visually, pink salmon seem to have higher average numbers of </w:t>
      </w:r>
      <w:r w:rsidRPr="00F42A9C">
        <w:rPr>
          <w:i/>
        </w:rPr>
        <w:t xml:space="preserve">L. </w:t>
      </w:r>
      <w:proofErr w:type="spellStart"/>
      <w:r w:rsidRPr="00F42A9C">
        <w:rPr>
          <w:i/>
        </w:rPr>
        <w:t>salmonis</w:t>
      </w:r>
      <w:proofErr w:type="spellEnd"/>
      <w:r w:rsidRPr="00F42A9C">
        <w:t>.</w:t>
      </w:r>
    </w:p>
    <w:p w14:paraId="4E6A1CF6" w14:textId="57E5ECB9" w:rsidR="00686B1E" w:rsidRDefault="00686B1E"/>
    <w:p w14:paraId="2AB74981" w14:textId="548B9A9A" w:rsidR="00686B1E" w:rsidRDefault="00686B1E"/>
    <w:p w14:paraId="0AB6DD64" w14:textId="2457F7D5" w:rsidR="00686B1E" w:rsidRDefault="00686B1E"/>
    <w:p w14:paraId="5DCB6A30" w14:textId="5FB59C09" w:rsidR="00686B1E" w:rsidRDefault="00686B1E"/>
    <w:p w14:paraId="552FF4FD" w14:textId="2BD66115" w:rsidR="00686B1E" w:rsidRDefault="00686B1E"/>
    <w:p w14:paraId="5A572DEE" w14:textId="5D89F25A" w:rsidR="00686B1E" w:rsidRDefault="00686B1E"/>
    <w:p w14:paraId="1023604F" w14:textId="5E54A0D2" w:rsidR="00686B1E" w:rsidRDefault="00686B1E">
      <w:r>
        <w:rPr>
          <w:noProof/>
        </w:rPr>
        <w:lastRenderedPageBreak/>
        <w:drawing>
          <wp:inline distT="0" distB="0" distL="0" distR="0" wp14:anchorId="44985C40" wp14:editId="20C91C6F">
            <wp:extent cx="4700493" cy="46101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liceestimates.png"/>
                    <pic:cNvPicPr/>
                  </pic:nvPicPr>
                  <pic:blipFill>
                    <a:blip r:embed="rId9">
                      <a:extLst>
                        <a:ext uri="{28A0092B-C50C-407E-A947-70E740481C1C}">
                          <a14:useLocalDpi xmlns:a14="http://schemas.microsoft.com/office/drawing/2010/main" val="0"/>
                        </a:ext>
                      </a:extLst>
                    </a:blip>
                    <a:stretch>
                      <a:fillRect/>
                    </a:stretch>
                  </pic:blipFill>
                  <pic:spPr>
                    <a:xfrm>
                      <a:off x="0" y="0"/>
                      <a:ext cx="4729205" cy="4638260"/>
                    </a:xfrm>
                    <a:prstGeom prst="rect">
                      <a:avLst/>
                    </a:prstGeom>
                  </pic:spPr>
                </pic:pic>
              </a:graphicData>
            </a:graphic>
          </wp:inline>
        </w:drawing>
      </w:r>
    </w:p>
    <w:p w14:paraId="01CF99A9" w14:textId="77777777" w:rsidR="00F42A9C" w:rsidRDefault="00686B1E">
      <w:pPr>
        <w:pBdr>
          <w:bottom w:val="single" w:sz="6" w:space="1" w:color="auto"/>
        </w:pBdr>
      </w:pPr>
      <w:r>
        <w:rPr>
          <w:b/>
        </w:rPr>
        <w:t xml:space="preserve">Figure 3: </w:t>
      </w:r>
      <w:r>
        <w:t xml:space="preserve">Here we show the estimated average number of lice per fish across all collections, separated by the louse species. This confirms the visual estimate from the above plots that </w:t>
      </w:r>
      <w:r>
        <w:rPr>
          <w:i/>
        </w:rPr>
        <w:t xml:space="preserve">C. </w:t>
      </w:r>
      <w:proofErr w:type="spellStart"/>
      <w:r>
        <w:rPr>
          <w:i/>
        </w:rPr>
        <w:t>clemensi</w:t>
      </w:r>
      <w:proofErr w:type="spellEnd"/>
      <w:r>
        <w:rPr>
          <w:i/>
        </w:rPr>
        <w:t xml:space="preserve"> </w:t>
      </w:r>
      <w:r>
        <w:t xml:space="preserve">can be found with the highest frequency on sockeye salmon, and that </w:t>
      </w:r>
      <w:r>
        <w:rPr>
          <w:i/>
        </w:rPr>
        <w:t xml:space="preserve">L. </w:t>
      </w:r>
      <w:proofErr w:type="spellStart"/>
      <w:r>
        <w:rPr>
          <w:i/>
        </w:rPr>
        <w:t>salmonis</w:t>
      </w:r>
      <w:proofErr w:type="spellEnd"/>
      <w:r>
        <w:rPr>
          <w:i/>
        </w:rPr>
        <w:t xml:space="preserve"> </w:t>
      </w:r>
      <w:r>
        <w:t>can be found with the highest frequency on pink salmon.</w:t>
      </w:r>
    </w:p>
    <w:p w14:paraId="467F4C60" w14:textId="77777777" w:rsidR="00F42A9C" w:rsidRDefault="00F42A9C"/>
    <w:p w14:paraId="6CAE3EBE" w14:textId="77777777" w:rsidR="00995CB5" w:rsidRDefault="00995CB5" w:rsidP="00995CB5">
      <w:pPr>
        <w:rPr>
          <w:b/>
        </w:rPr>
      </w:pPr>
      <w:r>
        <w:rPr>
          <w:b/>
        </w:rPr>
        <w:t>Methods:</w:t>
      </w:r>
    </w:p>
    <w:p w14:paraId="5A41365F" w14:textId="7FD9444E" w:rsidR="00995CB5" w:rsidRDefault="00995CB5" w:rsidP="00995CB5">
      <w:r>
        <w:t>In order to quantify statistically whether or not there is any real relationship between salmon (host) species and lice (parasite) species loads, we used generalized linear mixed effects model</w:t>
      </w:r>
      <w:r w:rsidR="00F42A9C">
        <w:t>s</w:t>
      </w:r>
      <w:r>
        <w:t xml:space="preserve"> (GLMM</w:t>
      </w:r>
      <w:r w:rsidR="00F42A9C">
        <w:t>s</w:t>
      </w:r>
      <w:r>
        <w:t xml:space="preserve">) in the </w:t>
      </w:r>
      <w:proofErr w:type="spellStart"/>
      <w:r>
        <w:t>glmmABMD</w:t>
      </w:r>
      <w:proofErr w:type="spellEnd"/>
      <w:r>
        <w:t xml:space="preserve"> package to draw our conclusions. The model</w:t>
      </w:r>
      <w:r w:rsidR="00F42A9C">
        <w:t>s</w:t>
      </w:r>
      <w:r>
        <w:t xml:space="preserve"> employed a negative binomial error for the response distribution, as well as a log link function</w:t>
      </w:r>
      <w:r w:rsidR="00F42A9C">
        <w:t xml:space="preserve">. The GLMMs were written such that </w:t>
      </w:r>
      <w:r>
        <w:t xml:space="preserve">the number of lice per fish was treated as the response variable, and species of salmon were fixed effects. In addition, the ‘collection’ (unique sampling location/date combination, with &gt;=5 individuals of each of the three salmon species) number was treated as a random effect in </w:t>
      </w:r>
      <w:r w:rsidR="00F42A9C">
        <w:t>these</w:t>
      </w:r>
      <w:r>
        <w:t xml:space="preserve"> model</w:t>
      </w:r>
      <w:r w:rsidR="00F42A9C">
        <w:t>s</w:t>
      </w:r>
      <w:r>
        <w:t xml:space="preserve">. The results of </w:t>
      </w:r>
      <w:r w:rsidR="00F42A9C">
        <w:t>the</w:t>
      </w:r>
      <w:r>
        <w:t xml:space="preserve"> model</w:t>
      </w:r>
      <w:r w:rsidR="00F42A9C">
        <w:t>s</w:t>
      </w:r>
      <w:r>
        <w:t xml:space="preserve"> were used to </w:t>
      </w:r>
      <w:r w:rsidR="00F42A9C">
        <w:t>plot</w:t>
      </w:r>
      <w:r>
        <w:t xml:space="preserve"> Figure 3</w:t>
      </w:r>
      <w:r w:rsidR="00F42A9C">
        <w:t>, with the points representing the reverse transformed coefficient</w:t>
      </w:r>
      <w:r w:rsidR="00A26A7A">
        <w:t>s</w:t>
      </w:r>
      <w:r w:rsidR="00F42A9C">
        <w:t xml:space="preserve"> of the salmon species effects from our GLMM</w:t>
      </w:r>
      <w:r w:rsidR="00A26A7A">
        <w:t>s</w:t>
      </w:r>
      <w:r w:rsidR="00F42A9C">
        <w:t xml:space="preserve">, along with +/- 2 standard errors to form a 95% confidence interval, represented by the error bars. Four models were run, one alternate and one null model for each lice species. </w:t>
      </w:r>
    </w:p>
    <w:p w14:paraId="06B1E971" w14:textId="77777777" w:rsidR="00995CB5" w:rsidRDefault="00995CB5" w:rsidP="00995CB5"/>
    <w:p w14:paraId="2C4DFE7E" w14:textId="44448A0E" w:rsidR="00995CB5" w:rsidRPr="00995CB5" w:rsidRDefault="00995CB5" w:rsidP="00995CB5">
      <w:r>
        <w:rPr>
          <w:b/>
        </w:rPr>
        <w:t xml:space="preserve">Table 1: </w:t>
      </w:r>
      <w:r>
        <w:t xml:space="preserve">A summary of some important result values from our null and alternate models for both </w:t>
      </w:r>
      <w:r>
        <w:rPr>
          <w:i/>
        </w:rPr>
        <w:t xml:space="preserve">C. </w:t>
      </w:r>
      <w:proofErr w:type="spellStart"/>
      <w:r>
        <w:rPr>
          <w:i/>
        </w:rPr>
        <w:t>clemensi</w:t>
      </w:r>
      <w:proofErr w:type="spellEnd"/>
      <w:r>
        <w:rPr>
          <w:i/>
        </w:rPr>
        <w:t xml:space="preserve"> </w:t>
      </w:r>
      <w:r>
        <w:t xml:space="preserve">and </w:t>
      </w:r>
      <w:r>
        <w:rPr>
          <w:i/>
        </w:rPr>
        <w:t xml:space="preserve">L. </w:t>
      </w:r>
      <w:proofErr w:type="spellStart"/>
      <w:r>
        <w:rPr>
          <w:i/>
        </w:rPr>
        <w:t>salmonis</w:t>
      </w:r>
      <w:proofErr w:type="spellEnd"/>
      <w:r>
        <w:rPr>
          <w:i/>
        </w:rPr>
        <w:t xml:space="preserve"> </w:t>
      </w:r>
      <w:r>
        <w:t xml:space="preserve">lice. </w:t>
      </w:r>
    </w:p>
    <w:tbl>
      <w:tblPr>
        <w:tblStyle w:val="TableGrid"/>
        <w:tblW w:w="0" w:type="auto"/>
        <w:tblBorders>
          <w:left w:val="none" w:sz="0" w:space="0" w:color="auto"/>
        </w:tblBorders>
        <w:tblLook w:val="04A0" w:firstRow="1" w:lastRow="0" w:firstColumn="1" w:lastColumn="0" w:noHBand="0" w:noVBand="1"/>
      </w:tblPr>
      <w:tblGrid>
        <w:gridCol w:w="2250"/>
        <w:gridCol w:w="1710"/>
        <w:gridCol w:w="2430"/>
        <w:gridCol w:w="1341"/>
        <w:gridCol w:w="1629"/>
      </w:tblGrid>
      <w:tr w:rsidR="00D52279" w14:paraId="2C951B6B" w14:textId="77777777" w:rsidTr="00D52279">
        <w:tc>
          <w:tcPr>
            <w:tcW w:w="2250" w:type="dxa"/>
            <w:tcBorders>
              <w:bottom w:val="single" w:sz="4" w:space="0" w:color="auto"/>
            </w:tcBorders>
          </w:tcPr>
          <w:p w14:paraId="12CFB15B" w14:textId="77777777" w:rsidR="00D52279" w:rsidRPr="00C90625" w:rsidRDefault="00D52279" w:rsidP="00D52279">
            <w:pPr>
              <w:jc w:val="center"/>
              <w:rPr>
                <w:b/>
              </w:rPr>
            </w:pPr>
            <w:r w:rsidRPr="00C90625">
              <w:rPr>
                <w:b/>
              </w:rPr>
              <w:t>Model</w:t>
            </w:r>
          </w:p>
        </w:tc>
        <w:tc>
          <w:tcPr>
            <w:tcW w:w="1710" w:type="dxa"/>
            <w:tcBorders>
              <w:bottom w:val="single" w:sz="4" w:space="0" w:color="auto"/>
            </w:tcBorders>
          </w:tcPr>
          <w:p w14:paraId="7E888037" w14:textId="3175C440" w:rsidR="00D52279" w:rsidRPr="00C90625" w:rsidRDefault="00D52279" w:rsidP="00D52279">
            <w:pPr>
              <w:jc w:val="center"/>
              <w:rPr>
                <w:b/>
              </w:rPr>
            </w:pPr>
            <w:r>
              <w:rPr>
                <w:b/>
              </w:rPr>
              <w:t>Fixed Effect</w:t>
            </w:r>
          </w:p>
        </w:tc>
        <w:tc>
          <w:tcPr>
            <w:tcW w:w="2430" w:type="dxa"/>
            <w:tcBorders>
              <w:bottom w:val="single" w:sz="4" w:space="0" w:color="auto"/>
            </w:tcBorders>
          </w:tcPr>
          <w:p w14:paraId="44D3B78A" w14:textId="5336F602" w:rsidR="00D52279" w:rsidRPr="00C90625" w:rsidRDefault="00D52279" w:rsidP="00D52279">
            <w:pPr>
              <w:jc w:val="center"/>
              <w:rPr>
                <w:b/>
              </w:rPr>
            </w:pPr>
            <w:r w:rsidRPr="00C90625">
              <w:rPr>
                <w:b/>
              </w:rPr>
              <w:t>Negative Log Likelihood</w:t>
            </w:r>
          </w:p>
        </w:tc>
        <w:tc>
          <w:tcPr>
            <w:tcW w:w="1341" w:type="dxa"/>
            <w:tcBorders>
              <w:bottom w:val="single" w:sz="4" w:space="0" w:color="auto"/>
            </w:tcBorders>
          </w:tcPr>
          <w:p w14:paraId="09350DEA" w14:textId="77777777" w:rsidR="00D52279" w:rsidRPr="00C90625" w:rsidRDefault="00D52279" w:rsidP="00D52279">
            <w:pPr>
              <w:jc w:val="center"/>
              <w:rPr>
                <w:b/>
              </w:rPr>
            </w:pPr>
            <w:r w:rsidRPr="00C90625">
              <w:rPr>
                <w:b/>
              </w:rPr>
              <w:t>AIC value</w:t>
            </w:r>
          </w:p>
        </w:tc>
        <w:tc>
          <w:tcPr>
            <w:tcW w:w="1629" w:type="dxa"/>
            <w:tcBorders>
              <w:bottom w:val="single" w:sz="4" w:space="0" w:color="auto"/>
              <w:right w:val="nil"/>
            </w:tcBorders>
          </w:tcPr>
          <w:p w14:paraId="5363893F" w14:textId="77777777" w:rsidR="00D52279" w:rsidRPr="00C90625" w:rsidRDefault="00D52279" w:rsidP="00D52279">
            <w:pPr>
              <w:jc w:val="center"/>
              <w:rPr>
                <w:b/>
              </w:rPr>
            </w:pPr>
            <w:r w:rsidRPr="00C90625">
              <w:rPr>
                <w:b/>
              </w:rPr>
              <w:t>Delta-AIC value</w:t>
            </w:r>
          </w:p>
        </w:tc>
      </w:tr>
      <w:tr w:rsidR="00D52279" w14:paraId="11EE2B5F" w14:textId="77777777" w:rsidTr="00D52279">
        <w:tc>
          <w:tcPr>
            <w:tcW w:w="2250" w:type="dxa"/>
            <w:tcBorders>
              <w:top w:val="single" w:sz="4" w:space="0" w:color="auto"/>
              <w:bottom w:val="nil"/>
            </w:tcBorders>
          </w:tcPr>
          <w:p w14:paraId="6F499011" w14:textId="0DF69103" w:rsidR="00D52279" w:rsidRPr="00C90625" w:rsidRDefault="00D52279" w:rsidP="00D52279">
            <w:pPr>
              <w:jc w:val="center"/>
              <w:rPr>
                <w:b/>
              </w:rPr>
            </w:pPr>
            <w:r w:rsidRPr="00C90625">
              <w:rPr>
                <w:b/>
                <w:i/>
              </w:rPr>
              <w:t xml:space="preserve">C. </w:t>
            </w:r>
            <w:proofErr w:type="spellStart"/>
            <w:r w:rsidRPr="00C90625">
              <w:rPr>
                <w:b/>
                <w:i/>
              </w:rPr>
              <w:t>clemensi</w:t>
            </w:r>
            <w:proofErr w:type="spellEnd"/>
            <w:r w:rsidRPr="00C90625">
              <w:rPr>
                <w:b/>
              </w:rPr>
              <w:t xml:space="preserve"> Null</w:t>
            </w:r>
          </w:p>
        </w:tc>
        <w:tc>
          <w:tcPr>
            <w:tcW w:w="1710" w:type="dxa"/>
            <w:tcBorders>
              <w:top w:val="single" w:sz="4" w:space="0" w:color="auto"/>
              <w:bottom w:val="nil"/>
            </w:tcBorders>
          </w:tcPr>
          <w:p w14:paraId="3A1EB210" w14:textId="11D04C3D" w:rsidR="00D52279" w:rsidRDefault="00D52279" w:rsidP="00D52279">
            <w:pPr>
              <w:jc w:val="center"/>
            </w:pPr>
            <w:r>
              <w:t>--</w:t>
            </w:r>
          </w:p>
        </w:tc>
        <w:tc>
          <w:tcPr>
            <w:tcW w:w="2430" w:type="dxa"/>
            <w:tcBorders>
              <w:top w:val="single" w:sz="4" w:space="0" w:color="auto"/>
              <w:bottom w:val="nil"/>
            </w:tcBorders>
          </w:tcPr>
          <w:p w14:paraId="7428BEDA" w14:textId="55ABC7D9" w:rsidR="00D52279" w:rsidRDefault="00D52279" w:rsidP="00D52279">
            <w:pPr>
              <w:jc w:val="center"/>
            </w:pPr>
            <w:r>
              <w:t>-1783.72</w:t>
            </w:r>
          </w:p>
        </w:tc>
        <w:tc>
          <w:tcPr>
            <w:tcW w:w="1341" w:type="dxa"/>
            <w:tcBorders>
              <w:top w:val="single" w:sz="4" w:space="0" w:color="auto"/>
              <w:bottom w:val="nil"/>
            </w:tcBorders>
          </w:tcPr>
          <w:p w14:paraId="5A2EB9F0" w14:textId="77777777" w:rsidR="00D52279" w:rsidRDefault="00D52279" w:rsidP="00D52279">
            <w:pPr>
              <w:jc w:val="center"/>
            </w:pPr>
            <w:r w:rsidRPr="00C90625">
              <w:t>3573.4</w:t>
            </w:r>
          </w:p>
        </w:tc>
        <w:tc>
          <w:tcPr>
            <w:tcW w:w="1629" w:type="dxa"/>
            <w:tcBorders>
              <w:top w:val="single" w:sz="4" w:space="0" w:color="auto"/>
              <w:bottom w:val="nil"/>
              <w:right w:val="nil"/>
            </w:tcBorders>
          </w:tcPr>
          <w:p w14:paraId="4DA0190F" w14:textId="77777777" w:rsidR="00D52279" w:rsidRDefault="00D52279" w:rsidP="00D52279">
            <w:pPr>
              <w:jc w:val="center"/>
            </w:pPr>
            <w:r>
              <w:t>0.0</w:t>
            </w:r>
          </w:p>
        </w:tc>
      </w:tr>
      <w:tr w:rsidR="00D52279" w14:paraId="7622A9CF" w14:textId="77777777" w:rsidTr="00D52279">
        <w:tc>
          <w:tcPr>
            <w:tcW w:w="2250" w:type="dxa"/>
            <w:tcBorders>
              <w:top w:val="nil"/>
              <w:bottom w:val="nil"/>
            </w:tcBorders>
          </w:tcPr>
          <w:p w14:paraId="79028398" w14:textId="77777777" w:rsidR="00D52279" w:rsidRPr="00C90625" w:rsidRDefault="00D52279" w:rsidP="00D52279">
            <w:pPr>
              <w:jc w:val="center"/>
              <w:rPr>
                <w:b/>
              </w:rPr>
            </w:pPr>
            <w:r w:rsidRPr="00C90625">
              <w:rPr>
                <w:b/>
                <w:i/>
              </w:rPr>
              <w:t xml:space="preserve">C. </w:t>
            </w:r>
            <w:proofErr w:type="spellStart"/>
            <w:r w:rsidRPr="00C90625">
              <w:rPr>
                <w:b/>
                <w:i/>
              </w:rPr>
              <w:t>clemensi</w:t>
            </w:r>
            <w:proofErr w:type="spellEnd"/>
            <w:r w:rsidRPr="00C90625">
              <w:rPr>
                <w:b/>
              </w:rPr>
              <w:t xml:space="preserve"> Alternate</w:t>
            </w:r>
          </w:p>
        </w:tc>
        <w:tc>
          <w:tcPr>
            <w:tcW w:w="1710" w:type="dxa"/>
            <w:tcBorders>
              <w:top w:val="nil"/>
              <w:bottom w:val="nil"/>
            </w:tcBorders>
          </w:tcPr>
          <w:p w14:paraId="4D4E14AD" w14:textId="6EE515E0" w:rsidR="00D52279" w:rsidRPr="00C90625" w:rsidRDefault="00D52279" w:rsidP="00D52279">
            <w:pPr>
              <w:jc w:val="center"/>
            </w:pPr>
            <w:r>
              <w:t>Salmon Species</w:t>
            </w:r>
          </w:p>
        </w:tc>
        <w:tc>
          <w:tcPr>
            <w:tcW w:w="2430" w:type="dxa"/>
            <w:tcBorders>
              <w:top w:val="nil"/>
              <w:bottom w:val="nil"/>
            </w:tcBorders>
          </w:tcPr>
          <w:p w14:paraId="707F653D" w14:textId="46A1EEAC" w:rsidR="00D52279" w:rsidRDefault="00D52279" w:rsidP="00D52279">
            <w:pPr>
              <w:jc w:val="center"/>
            </w:pPr>
            <w:r w:rsidRPr="00C90625">
              <w:t>-1737.68</w:t>
            </w:r>
          </w:p>
        </w:tc>
        <w:tc>
          <w:tcPr>
            <w:tcW w:w="1341" w:type="dxa"/>
            <w:tcBorders>
              <w:top w:val="nil"/>
              <w:bottom w:val="nil"/>
            </w:tcBorders>
          </w:tcPr>
          <w:p w14:paraId="625BBB49" w14:textId="77777777" w:rsidR="00D52279" w:rsidRDefault="00D52279" w:rsidP="00D52279">
            <w:pPr>
              <w:jc w:val="center"/>
            </w:pPr>
            <w:r w:rsidRPr="00C90625">
              <w:t>3485.4</w:t>
            </w:r>
          </w:p>
        </w:tc>
        <w:tc>
          <w:tcPr>
            <w:tcW w:w="1629" w:type="dxa"/>
            <w:tcBorders>
              <w:top w:val="nil"/>
              <w:bottom w:val="nil"/>
              <w:right w:val="nil"/>
            </w:tcBorders>
          </w:tcPr>
          <w:p w14:paraId="742CCF89" w14:textId="77777777" w:rsidR="00D52279" w:rsidRDefault="00D52279" w:rsidP="00D52279">
            <w:pPr>
              <w:jc w:val="center"/>
            </w:pPr>
            <w:r>
              <w:t>88.1</w:t>
            </w:r>
          </w:p>
        </w:tc>
      </w:tr>
      <w:tr w:rsidR="00D52279" w14:paraId="5829CEB5" w14:textId="77777777" w:rsidTr="00D52279">
        <w:tc>
          <w:tcPr>
            <w:tcW w:w="2250" w:type="dxa"/>
            <w:tcBorders>
              <w:top w:val="nil"/>
              <w:bottom w:val="nil"/>
            </w:tcBorders>
          </w:tcPr>
          <w:p w14:paraId="2AD971E5" w14:textId="77777777" w:rsidR="00D52279" w:rsidRPr="00C90625" w:rsidRDefault="00D52279" w:rsidP="00D52279">
            <w:pPr>
              <w:jc w:val="center"/>
              <w:rPr>
                <w:b/>
              </w:rPr>
            </w:pPr>
            <w:r w:rsidRPr="00C90625">
              <w:rPr>
                <w:b/>
                <w:i/>
              </w:rPr>
              <w:t xml:space="preserve">L. </w:t>
            </w:r>
            <w:proofErr w:type="spellStart"/>
            <w:r w:rsidRPr="00C90625">
              <w:rPr>
                <w:b/>
                <w:i/>
              </w:rPr>
              <w:t>salmonis</w:t>
            </w:r>
            <w:proofErr w:type="spellEnd"/>
            <w:r w:rsidRPr="00C90625">
              <w:rPr>
                <w:b/>
              </w:rPr>
              <w:t xml:space="preserve"> Null</w:t>
            </w:r>
          </w:p>
        </w:tc>
        <w:tc>
          <w:tcPr>
            <w:tcW w:w="1710" w:type="dxa"/>
            <w:tcBorders>
              <w:top w:val="nil"/>
              <w:bottom w:val="nil"/>
            </w:tcBorders>
          </w:tcPr>
          <w:p w14:paraId="7B7F4172" w14:textId="40235E69" w:rsidR="00D52279" w:rsidRPr="00C90625" w:rsidRDefault="00D52279" w:rsidP="00D52279">
            <w:pPr>
              <w:jc w:val="center"/>
            </w:pPr>
            <w:r>
              <w:t>--</w:t>
            </w:r>
          </w:p>
        </w:tc>
        <w:tc>
          <w:tcPr>
            <w:tcW w:w="2430" w:type="dxa"/>
            <w:tcBorders>
              <w:top w:val="nil"/>
              <w:bottom w:val="nil"/>
            </w:tcBorders>
          </w:tcPr>
          <w:p w14:paraId="72F3363B" w14:textId="477C02AB" w:rsidR="00D52279" w:rsidRDefault="00D52279" w:rsidP="00D52279">
            <w:pPr>
              <w:jc w:val="center"/>
            </w:pPr>
            <w:r w:rsidRPr="00C90625">
              <w:t>-571.268</w:t>
            </w:r>
          </w:p>
        </w:tc>
        <w:tc>
          <w:tcPr>
            <w:tcW w:w="1341" w:type="dxa"/>
            <w:tcBorders>
              <w:top w:val="nil"/>
              <w:bottom w:val="nil"/>
            </w:tcBorders>
          </w:tcPr>
          <w:p w14:paraId="77745FAE" w14:textId="77777777" w:rsidR="00D52279" w:rsidRDefault="00D52279" w:rsidP="00D52279">
            <w:pPr>
              <w:jc w:val="center"/>
            </w:pPr>
            <w:r w:rsidRPr="00C90625">
              <w:t>1148.5</w:t>
            </w:r>
          </w:p>
        </w:tc>
        <w:tc>
          <w:tcPr>
            <w:tcW w:w="1629" w:type="dxa"/>
            <w:tcBorders>
              <w:top w:val="nil"/>
              <w:bottom w:val="nil"/>
              <w:right w:val="nil"/>
            </w:tcBorders>
          </w:tcPr>
          <w:p w14:paraId="468785EE" w14:textId="77777777" w:rsidR="00D52279" w:rsidRDefault="00D52279" w:rsidP="00D52279">
            <w:pPr>
              <w:jc w:val="center"/>
            </w:pPr>
            <w:r>
              <w:t>0.0</w:t>
            </w:r>
          </w:p>
        </w:tc>
      </w:tr>
      <w:tr w:rsidR="00D52279" w14:paraId="58E9F986" w14:textId="77777777" w:rsidTr="00D52279">
        <w:tc>
          <w:tcPr>
            <w:tcW w:w="2250" w:type="dxa"/>
            <w:tcBorders>
              <w:top w:val="nil"/>
            </w:tcBorders>
          </w:tcPr>
          <w:p w14:paraId="56EBC806" w14:textId="77777777" w:rsidR="00D52279" w:rsidRPr="00C90625" w:rsidRDefault="00D52279" w:rsidP="00D52279">
            <w:pPr>
              <w:jc w:val="center"/>
              <w:rPr>
                <w:b/>
              </w:rPr>
            </w:pPr>
            <w:r w:rsidRPr="00C90625">
              <w:rPr>
                <w:b/>
                <w:i/>
              </w:rPr>
              <w:t xml:space="preserve">L. </w:t>
            </w:r>
            <w:proofErr w:type="spellStart"/>
            <w:r w:rsidRPr="00C90625">
              <w:rPr>
                <w:b/>
                <w:i/>
              </w:rPr>
              <w:t>salmonis</w:t>
            </w:r>
            <w:proofErr w:type="spellEnd"/>
            <w:r w:rsidRPr="00C90625">
              <w:rPr>
                <w:b/>
              </w:rPr>
              <w:t xml:space="preserve"> Alternate</w:t>
            </w:r>
          </w:p>
        </w:tc>
        <w:tc>
          <w:tcPr>
            <w:tcW w:w="1710" w:type="dxa"/>
            <w:tcBorders>
              <w:top w:val="nil"/>
            </w:tcBorders>
          </w:tcPr>
          <w:p w14:paraId="521D6B7E" w14:textId="429EA5A4" w:rsidR="00D52279" w:rsidRPr="00C90625" w:rsidRDefault="00D52279" w:rsidP="00D52279">
            <w:pPr>
              <w:jc w:val="center"/>
            </w:pPr>
            <w:r>
              <w:t>Salmon Species</w:t>
            </w:r>
          </w:p>
        </w:tc>
        <w:tc>
          <w:tcPr>
            <w:tcW w:w="2430" w:type="dxa"/>
            <w:tcBorders>
              <w:top w:val="nil"/>
            </w:tcBorders>
          </w:tcPr>
          <w:p w14:paraId="2E6578F4" w14:textId="5BFE9EC2" w:rsidR="00D52279" w:rsidRDefault="00D52279" w:rsidP="00D52279">
            <w:pPr>
              <w:jc w:val="center"/>
            </w:pPr>
            <w:r w:rsidRPr="00C90625">
              <w:t>-562.663</w:t>
            </w:r>
          </w:p>
        </w:tc>
        <w:tc>
          <w:tcPr>
            <w:tcW w:w="1341" w:type="dxa"/>
            <w:tcBorders>
              <w:top w:val="nil"/>
            </w:tcBorders>
          </w:tcPr>
          <w:p w14:paraId="05DDFC44" w14:textId="77777777" w:rsidR="00D52279" w:rsidRDefault="00D52279" w:rsidP="00D52279">
            <w:pPr>
              <w:jc w:val="center"/>
            </w:pPr>
            <w:r w:rsidRPr="00C90625">
              <w:t>1135.3</w:t>
            </w:r>
          </w:p>
        </w:tc>
        <w:tc>
          <w:tcPr>
            <w:tcW w:w="1629" w:type="dxa"/>
            <w:tcBorders>
              <w:top w:val="nil"/>
              <w:right w:val="nil"/>
            </w:tcBorders>
          </w:tcPr>
          <w:p w14:paraId="30236517" w14:textId="77777777" w:rsidR="00D52279" w:rsidRDefault="00D52279" w:rsidP="00D52279">
            <w:pPr>
              <w:jc w:val="center"/>
            </w:pPr>
            <w:r>
              <w:t>13.2</w:t>
            </w:r>
          </w:p>
        </w:tc>
      </w:tr>
    </w:tbl>
    <w:p w14:paraId="1245542A" w14:textId="210E7BA7" w:rsidR="002951E3" w:rsidRDefault="002951E3"/>
    <w:p w14:paraId="39995F15" w14:textId="10DE5466" w:rsidR="00173422" w:rsidRDefault="00173422">
      <w:r>
        <w:rPr>
          <w:b/>
        </w:rPr>
        <w:t xml:space="preserve">Table 2: </w:t>
      </w:r>
      <w:r w:rsidR="009D09DA">
        <w:t xml:space="preserve">A summary of the </w:t>
      </w:r>
      <w:r w:rsidR="0084095E">
        <w:t xml:space="preserve">coefficients and </w:t>
      </w:r>
      <w:r w:rsidR="005146BC">
        <w:t xml:space="preserve">standard errors from </w:t>
      </w:r>
      <w:r w:rsidR="00FB688B">
        <w:t xml:space="preserve">the two alternate </w:t>
      </w:r>
      <w:r w:rsidR="005146BC">
        <w:t xml:space="preserve">models run for both </w:t>
      </w:r>
      <w:r w:rsidR="005146BC">
        <w:rPr>
          <w:i/>
        </w:rPr>
        <w:t xml:space="preserve">C. </w:t>
      </w:r>
      <w:proofErr w:type="spellStart"/>
      <w:r w:rsidR="005146BC">
        <w:rPr>
          <w:i/>
        </w:rPr>
        <w:t>clemensi</w:t>
      </w:r>
      <w:proofErr w:type="spellEnd"/>
      <w:r w:rsidR="005146BC">
        <w:rPr>
          <w:i/>
        </w:rPr>
        <w:t xml:space="preserve"> </w:t>
      </w:r>
      <w:r w:rsidR="005146BC">
        <w:t xml:space="preserve">and </w:t>
      </w:r>
      <w:r w:rsidR="005146BC">
        <w:rPr>
          <w:i/>
        </w:rPr>
        <w:t xml:space="preserve">L. </w:t>
      </w:r>
      <w:proofErr w:type="spellStart"/>
      <w:r w:rsidR="005146BC">
        <w:rPr>
          <w:i/>
        </w:rPr>
        <w:t>salmonis</w:t>
      </w:r>
      <w:proofErr w:type="spellEnd"/>
      <w:r w:rsidR="005146BC">
        <w:rPr>
          <w:i/>
        </w:rPr>
        <w:t xml:space="preserve"> </w:t>
      </w:r>
      <w:r w:rsidR="005146BC">
        <w:t xml:space="preserve">lice. </w:t>
      </w:r>
      <w:r w:rsidR="00841984">
        <w:t>The coefficient values here were reverse transformed, along with +/- two standard errors to plot the points and error bars for Fig. 3.</w:t>
      </w:r>
      <w:bookmarkStart w:id="0" w:name="_GoBack"/>
      <w:bookmarkEnd w:id="0"/>
    </w:p>
    <w:tbl>
      <w:tblPr>
        <w:tblStyle w:val="TableGrid"/>
        <w:tblW w:w="0" w:type="auto"/>
        <w:tblBorders>
          <w:left w:val="none" w:sz="0" w:space="0" w:color="auto"/>
        </w:tblBorders>
        <w:tblLayout w:type="fixed"/>
        <w:tblLook w:val="04A0" w:firstRow="1" w:lastRow="0" w:firstColumn="1" w:lastColumn="0" w:noHBand="0" w:noVBand="1"/>
      </w:tblPr>
      <w:tblGrid>
        <w:gridCol w:w="1620"/>
        <w:gridCol w:w="1170"/>
        <w:gridCol w:w="1350"/>
        <w:gridCol w:w="1350"/>
        <w:gridCol w:w="1350"/>
        <w:gridCol w:w="1170"/>
        <w:gridCol w:w="1350"/>
      </w:tblGrid>
      <w:tr w:rsidR="00FB688B" w:rsidRPr="00613F36" w14:paraId="30AEFAC8" w14:textId="77777777" w:rsidTr="00FB688B">
        <w:trPr>
          <w:trHeight w:val="647"/>
        </w:trPr>
        <w:tc>
          <w:tcPr>
            <w:tcW w:w="1620" w:type="dxa"/>
            <w:tcBorders>
              <w:bottom w:val="single" w:sz="4" w:space="0" w:color="auto"/>
            </w:tcBorders>
          </w:tcPr>
          <w:p w14:paraId="01BAA4CD" w14:textId="62E9B59F" w:rsidR="00FB688B" w:rsidRPr="00FB688B" w:rsidRDefault="00FB688B" w:rsidP="009D09DA">
            <w:pPr>
              <w:jc w:val="center"/>
              <w:rPr>
                <w:rFonts w:cstheme="minorHAnsi"/>
                <w:b/>
                <w:sz w:val="18"/>
                <w:szCs w:val="18"/>
              </w:rPr>
            </w:pPr>
            <w:r w:rsidRPr="00FB688B">
              <w:rPr>
                <w:rFonts w:cstheme="minorHAnsi"/>
                <w:b/>
                <w:sz w:val="18"/>
                <w:szCs w:val="18"/>
              </w:rPr>
              <w:t>Output</w:t>
            </w:r>
          </w:p>
        </w:tc>
        <w:tc>
          <w:tcPr>
            <w:tcW w:w="1170" w:type="dxa"/>
            <w:tcBorders>
              <w:bottom w:val="single" w:sz="4" w:space="0" w:color="auto"/>
            </w:tcBorders>
          </w:tcPr>
          <w:p w14:paraId="6C0266C5" w14:textId="036E2CF7" w:rsidR="00FB688B" w:rsidRPr="00FB688B" w:rsidRDefault="00FB688B" w:rsidP="009D09DA">
            <w:pPr>
              <w:jc w:val="center"/>
              <w:rPr>
                <w:rFonts w:cstheme="minorHAnsi"/>
                <w:b/>
                <w:sz w:val="18"/>
                <w:szCs w:val="18"/>
              </w:rPr>
            </w:pPr>
            <w:r w:rsidRPr="00FB688B">
              <w:rPr>
                <w:rFonts w:cstheme="minorHAnsi"/>
                <w:b/>
                <w:sz w:val="18"/>
                <w:szCs w:val="18"/>
              </w:rPr>
              <w:t>Chum Coefficient</w:t>
            </w:r>
          </w:p>
        </w:tc>
        <w:tc>
          <w:tcPr>
            <w:tcW w:w="1350" w:type="dxa"/>
            <w:tcBorders>
              <w:bottom w:val="single" w:sz="4" w:space="0" w:color="auto"/>
            </w:tcBorders>
          </w:tcPr>
          <w:p w14:paraId="328B8966" w14:textId="69F861E9" w:rsidR="00FB688B" w:rsidRPr="00FB688B" w:rsidRDefault="00FB688B" w:rsidP="009D09DA">
            <w:pPr>
              <w:jc w:val="center"/>
              <w:rPr>
                <w:rFonts w:cstheme="minorHAnsi"/>
                <w:b/>
                <w:sz w:val="18"/>
                <w:szCs w:val="18"/>
              </w:rPr>
            </w:pPr>
            <w:r w:rsidRPr="00FB688B">
              <w:rPr>
                <w:rFonts w:cstheme="minorHAnsi"/>
                <w:b/>
                <w:sz w:val="18"/>
                <w:szCs w:val="18"/>
              </w:rPr>
              <w:t>Chum Standard Error</w:t>
            </w:r>
          </w:p>
        </w:tc>
        <w:tc>
          <w:tcPr>
            <w:tcW w:w="1350" w:type="dxa"/>
            <w:tcBorders>
              <w:bottom w:val="single" w:sz="4" w:space="0" w:color="auto"/>
            </w:tcBorders>
          </w:tcPr>
          <w:p w14:paraId="332D78CC" w14:textId="6192B5C5" w:rsidR="00FB688B" w:rsidRPr="00FB688B" w:rsidRDefault="00FB688B" w:rsidP="009D09DA">
            <w:pPr>
              <w:jc w:val="center"/>
              <w:rPr>
                <w:rFonts w:cstheme="minorHAnsi"/>
                <w:b/>
                <w:sz w:val="18"/>
                <w:szCs w:val="18"/>
              </w:rPr>
            </w:pPr>
            <w:r w:rsidRPr="00FB688B">
              <w:rPr>
                <w:rFonts w:cstheme="minorHAnsi"/>
                <w:b/>
                <w:sz w:val="18"/>
                <w:szCs w:val="18"/>
              </w:rPr>
              <w:t>Pink Coefficient</w:t>
            </w:r>
          </w:p>
        </w:tc>
        <w:tc>
          <w:tcPr>
            <w:tcW w:w="1350" w:type="dxa"/>
            <w:tcBorders>
              <w:bottom w:val="single" w:sz="4" w:space="0" w:color="auto"/>
            </w:tcBorders>
          </w:tcPr>
          <w:p w14:paraId="7921E6A2" w14:textId="77777777" w:rsidR="00FB688B" w:rsidRDefault="00FB688B" w:rsidP="009D09DA">
            <w:pPr>
              <w:jc w:val="center"/>
              <w:rPr>
                <w:rFonts w:cstheme="minorHAnsi"/>
                <w:b/>
                <w:sz w:val="18"/>
                <w:szCs w:val="18"/>
              </w:rPr>
            </w:pPr>
            <w:r w:rsidRPr="00FB688B">
              <w:rPr>
                <w:rFonts w:cstheme="minorHAnsi"/>
                <w:b/>
                <w:sz w:val="18"/>
                <w:szCs w:val="18"/>
              </w:rPr>
              <w:t xml:space="preserve">Pink </w:t>
            </w:r>
          </w:p>
          <w:p w14:paraId="19920A6F" w14:textId="0CECF28E" w:rsidR="00FB688B" w:rsidRPr="00FB688B" w:rsidRDefault="00FB688B" w:rsidP="009D09DA">
            <w:pPr>
              <w:jc w:val="center"/>
              <w:rPr>
                <w:rFonts w:cstheme="minorHAnsi"/>
                <w:b/>
                <w:sz w:val="18"/>
                <w:szCs w:val="18"/>
              </w:rPr>
            </w:pPr>
            <w:r w:rsidRPr="00FB688B">
              <w:rPr>
                <w:rFonts w:cstheme="minorHAnsi"/>
                <w:b/>
                <w:sz w:val="18"/>
                <w:szCs w:val="18"/>
              </w:rPr>
              <w:t>Standard Error</w:t>
            </w:r>
          </w:p>
        </w:tc>
        <w:tc>
          <w:tcPr>
            <w:tcW w:w="1170" w:type="dxa"/>
            <w:tcBorders>
              <w:bottom w:val="single" w:sz="4" w:space="0" w:color="auto"/>
            </w:tcBorders>
          </w:tcPr>
          <w:p w14:paraId="02354CE7" w14:textId="436A61EC" w:rsidR="00FB688B" w:rsidRPr="00FB688B" w:rsidRDefault="00FB688B" w:rsidP="009D09DA">
            <w:pPr>
              <w:jc w:val="center"/>
              <w:rPr>
                <w:rFonts w:cstheme="minorHAnsi"/>
                <w:b/>
                <w:sz w:val="18"/>
                <w:szCs w:val="18"/>
              </w:rPr>
            </w:pPr>
            <w:r w:rsidRPr="00FB688B">
              <w:rPr>
                <w:rFonts w:cstheme="minorHAnsi"/>
                <w:b/>
                <w:sz w:val="18"/>
                <w:szCs w:val="18"/>
              </w:rPr>
              <w:t>Sockeye Coefficient</w:t>
            </w:r>
          </w:p>
        </w:tc>
        <w:tc>
          <w:tcPr>
            <w:tcW w:w="1350" w:type="dxa"/>
            <w:tcBorders>
              <w:bottom w:val="single" w:sz="4" w:space="0" w:color="auto"/>
              <w:right w:val="nil"/>
            </w:tcBorders>
          </w:tcPr>
          <w:p w14:paraId="727FECDE" w14:textId="2725FB84" w:rsidR="00FB688B" w:rsidRPr="00FB688B" w:rsidRDefault="00FB688B" w:rsidP="009D09DA">
            <w:pPr>
              <w:jc w:val="center"/>
              <w:rPr>
                <w:rFonts w:cstheme="minorHAnsi"/>
                <w:b/>
                <w:sz w:val="18"/>
                <w:szCs w:val="18"/>
              </w:rPr>
            </w:pPr>
            <w:r w:rsidRPr="00FB688B">
              <w:rPr>
                <w:rFonts w:cstheme="minorHAnsi"/>
                <w:b/>
                <w:sz w:val="18"/>
                <w:szCs w:val="18"/>
              </w:rPr>
              <w:t>Sockeye Standard Error</w:t>
            </w:r>
          </w:p>
        </w:tc>
      </w:tr>
      <w:tr w:rsidR="00FB688B" w:rsidRPr="00613F36" w14:paraId="6618F6D6" w14:textId="77777777" w:rsidTr="00FB688B">
        <w:trPr>
          <w:trHeight w:val="341"/>
        </w:trPr>
        <w:tc>
          <w:tcPr>
            <w:tcW w:w="1620" w:type="dxa"/>
            <w:tcBorders>
              <w:top w:val="nil"/>
              <w:bottom w:val="nil"/>
            </w:tcBorders>
          </w:tcPr>
          <w:p w14:paraId="43D7A77E" w14:textId="09A76D29" w:rsidR="00FB688B" w:rsidRPr="00FB688B" w:rsidRDefault="00FB688B" w:rsidP="001D6CD5">
            <w:pPr>
              <w:jc w:val="center"/>
              <w:rPr>
                <w:rFonts w:cstheme="minorHAnsi"/>
                <w:b/>
                <w:sz w:val="18"/>
                <w:szCs w:val="18"/>
              </w:rPr>
            </w:pPr>
            <w:r w:rsidRPr="00FB688B">
              <w:rPr>
                <w:rFonts w:cstheme="minorHAnsi"/>
                <w:b/>
                <w:i/>
                <w:sz w:val="18"/>
                <w:szCs w:val="18"/>
              </w:rPr>
              <w:t xml:space="preserve">C. </w:t>
            </w:r>
            <w:proofErr w:type="spellStart"/>
            <w:r w:rsidRPr="00FB688B">
              <w:rPr>
                <w:rFonts w:cstheme="minorHAnsi"/>
                <w:b/>
                <w:i/>
                <w:sz w:val="18"/>
                <w:szCs w:val="18"/>
              </w:rPr>
              <w:t>clemensi</w:t>
            </w:r>
            <w:proofErr w:type="spellEnd"/>
            <w:r w:rsidRPr="00FB688B">
              <w:rPr>
                <w:rFonts w:cstheme="minorHAnsi"/>
                <w:b/>
                <w:sz w:val="18"/>
                <w:szCs w:val="18"/>
              </w:rPr>
              <w:t xml:space="preserve"> Model</w:t>
            </w:r>
          </w:p>
        </w:tc>
        <w:tc>
          <w:tcPr>
            <w:tcW w:w="1170" w:type="dxa"/>
            <w:tcBorders>
              <w:top w:val="nil"/>
              <w:bottom w:val="nil"/>
            </w:tcBorders>
          </w:tcPr>
          <w:p w14:paraId="3F580337" w14:textId="30DBB593" w:rsidR="00FB688B" w:rsidRPr="00FB688B" w:rsidRDefault="00FB688B" w:rsidP="001D6CD5">
            <w:pPr>
              <w:jc w:val="center"/>
              <w:rPr>
                <w:rFonts w:cstheme="minorHAnsi"/>
                <w:sz w:val="18"/>
                <w:szCs w:val="18"/>
              </w:rPr>
            </w:pPr>
            <w:r w:rsidRPr="00FB688B">
              <w:rPr>
                <w:rFonts w:cstheme="minorHAnsi"/>
                <w:sz w:val="18"/>
                <w:szCs w:val="18"/>
              </w:rPr>
              <w:t>-1.3939</w:t>
            </w:r>
          </w:p>
        </w:tc>
        <w:tc>
          <w:tcPr>
            <w:tcW w:w="1350" w:type="dxa"/>
            <w:tcBorders>
              <w:top w:val="nil"/>
              <w:bottom w:val="nil"/>
            </w:tcBorders>
          </w:tcPr>
          <w:p w14:paraId="0CBF6703" w14:textId="3E448D79" w:rsidR="00FB688B" w:rsidRPr="00FB688B" w:rsidRDefault="00FB688B" w:rsidP="001D6CD5">
            <w:pPr>
              <w:jc w:val="center"/>
              <w:rPr>
                <w:rFonts w:cstheme="minorHAnsi"/>
                <w:sz w:val="18"/>
                <w:szCs w:val="18"/>
              </w:rPr>
            </w:pPr>
            <w:r w:rsidRPr="00FB688B">
              <w:rPr>
                <w:rFonts w:cstheme="minorHAnsi"/>
                <w:sz w:val="18"/>
                <w:szCs w:val="18"/>
              </w:rPr>
              <w:t>0.1281</w:t>
            </w:r>
          </w:p>
        </w:tc>
        <w:tc>
          <w:tcPr>
            <w:tcW w:w="1350" w:type="dxa"/>
            <w:tcBorders>
              <w:top w:val="nil"/>
              <w:bottom w:val="nil"/>
            </w:tcBorders>
          </w:tcPr>
          <w:p w14:paraId="2E803231" w14:textId="437D320E" w:rsidR="00FB688B" w:rsidRPr="00FB688B" w:rsidRDefault="00FB688B" w:rsidP="001D6CD5">
            <w:pPr>
              <w:jc w:val="center"/>
              <w:rPr>
                <w:rFonts w:cstheme="minorHAnsi"/>
                <w:sz w:val="18"/>
                <w:szCs w:val="18"/>
              </w:rPr>
            </w:pPr>
            <w:r w:rsidRPr="00FB688B">
              <w:rPr>
                <w:rFonts w:cstheme="minorHAnsi"/>
                <w:sz w:val="18"/>
                <w:szCs w:val="18"/>
              </w:rPr>
              <w:t>-0.8659</w:t>
            </w:r>
          </w:p>
        </w:tc>
        <w:tc>
          <w:tcPr>
            <w:tcW w:w="1350" w:type="dxa"/>
            <w:tcBorders>
              <w:top w:val="nil"/>
              <w:bottom w:val="nil"/>
            </w:tcBorders>
          </w:tcPr>
          <w:p w14:paraId="2BD075E3" w14:textId="606A45A6" w:rsidR="00FB688B" w:rsidRPr="00FB688B" w:rsidRDefault="00FB688B" w:rsidP="001D6CD5">
            <w:pPr>
              <w:jc w:val="center"/>
              <w:rPr>
                <w:rFonts w:cstheme="minorHAnsi"/>
                <w:sz w:val="18"/>
                <w:szCs w:val="18"/>
              </w:rPr>
            </w:pPr>
            <w:r w:rsidRPr="00FB688B">
              <w:rPr>
                <w:rFonts w:cstheme="minorHAnsi"/>
                <w:sz w:val="18"/>
                <w:szCs w:val="18"/>
              </w:rPr>
              <w:t>0.1130</w:t>
            </w:r>
          </w:p>
        </w:tc>
        <w:tc>
          <w:tcPr>
            <w:tcW w:w="1170" w:type="dxa"/>
            <w:tcBorders>
              <w:top w:val="nil"/>
              <w:bottom w:val="nil"/>
            </w:tcBorders>
          </w:tcPr>
          <w:p w14:paraId="47616EBB" w14:textId="35FA8E26" w:rsidR="00FB688B" w:rsidRPr="00FB688B" w:rsidRDefault="00FB688B" w:rsidP="001D6CD5">
            <w:pPr>
              <w:jc w:val="center"/>
              <w:rPr>
                <w:rFonts w:cstheme="minorHAnsi"/>
                <w:sz w:val="18"/>
                <w:szCs w:val="18"/>
              </w:rPr>
            </w:pPr>
            <w:r w:rsidRPr="00FB688B">
              <w:rPr>
                <w:rFonts w:cstheme="minorHAnsi"/>
                <w:sz w:val="18"/>
                <w:szCs w:val="18"/>
              </w:rPr>
              <w:t>-0.3894</w:t>
            </w:r>
          </w:p>
        </w:tc>
        <w:tc>
          <w:tcPr>
            <w:tcW w:w="1350" w:type="dxa"/>
            <w:tcBorders>
              <w:top w:val="nil"/>
              <w:bottom w:val="nil"/>
              <w:right w:val="nil"/>
            </w:tcBorders>
          </w:tcPr>
          <w:p w14:paraId="07125A25" w14:textId="7C8CF138" w:rsidR="00FB688B" w:rsidRPr="00FB688B" w:rsidRDefault="00FB688B" w:rsidP="001D6CD5">
            <w:pPr>
              <w:jc w:val="center"/>
              <w:rPr>
                <w:rFonts w:cstheme="minorHAnsi"/>
                <w:sz w:val="18"/>
                <w:szCs w:val="18"/>
              </w:rPr>
            </w:pPr>
            <w:r w:rsidRPr="00FB688B">
              <w:rPr>
                <w:rFonts w:cstheme="minorHAnsi"/>
                <w:sz w:val="18"/>
                <w:szCs w:val="18"/>
              </w:rPr>
              <w:t>0.0979</w:t>
            </w:r>
          </w:p>
        </w:tc>
      </w:tr>
      <w:tr w:rsidR="00FB688B" w:rsidRPr="00613F36" w14:paraId="21CE3AA6" w14:textId="77777777" w:rsidTr="00FB688B">
        <w:trPr>
          <w:trHeight w:val="297"/>
        </w:trPr>
        <w:tc>
          <w:tcPr>
            <w:tcW w:w="1620" w:type="dxa"/>
            <w:tcBorders>
              <w:top w:val="nil"/>
            </w:tcBorders>
          </w:tcPr>
          <w:p w14:paraId="0B37A68B" w14:textId="35B8F238" w:rsidR="00FB688B" w:rsidRPr="00FB688B" w:rsidRDefault="00FB688B" w:rsidP="001D6CD5">
            <w:pPr>
              <w:jc w:val="center"/>
              <w:rPr>
                <w:rFonts w:cstheme="minorHAnsi"/>
                <w:b/>
                <w:sz w:val="18"/>
                <w:szCs w:val="18"/>
              </w:rPr>
            </w:pPr>
            <w:r w:rsidRPr="00FB688B">
              <w:rPr>
                <w:rFonts w:cstheme="minorHAnsi"/>
                <w:b/>
                <w:i/>
                <w:sz w:val="18"/>
                <w:szCs w:val="18"/>
              </w:rPr>
              <w:t xml:space="preserve">L. </w:t>
            </w:r>
            <w:proofErr w:type="spellStart"/>
            <w:r w:rsidRPr="00FB688B">
              <w:rPr>
                <w:rFonts w:cstheme="minorHAnsi"/>
                <w:b/>
                <w:i/>
                <w:sz w:val="18"/>
                <w:szCs w:val="18"/>
              </w:rPr>
              <w:t>salmonis</w:t>
            </w:r>
            <w:proofErr w:type="spellEnd"/>
            <w:r w:rsidRPr="00FB688B">
              <w:rPr>
                <w:rFonts w:cstheme="minorHAnsi"/>
                <w:b/>
                <w:sz w:val="18"/>
                <w:szCs w:val="18"/>
              </w:rPr>
              <w:t xml:space="preserve"> Model</w:t>
            </w:r>
          </w:p>
        </w:tc>
        <w:tc>
          <w:tcPr>
            <w:tcW w:w="1170" w:type="dxa"/>
            <w:tcBorders>
              <w:top w:val="nil"/>
            </w:tcBorders>
          </w:tcPr>
          <w:p w14:paraId="2F531B80" w14:textId="63266276" w:rsidR="00FB688B" w:rsidRPr="00FB688B" w:rsidRDefault="00FB688B" w:rsidP="001D6CD5">
            <w:pPr>
              <w:jc w:val="center"/>
              <w:rPr>
                <w:rFonts w:cstheme="minorHAnsi"/>
                <w:sz w:val="18"/>
                <w:szCs w:val="18"/>
              </w:rPr>
            </w:pPr>
            <w:r w:rsidRPr="00FB688B">
              <w:rPr>
                <w:rFonts w:cstheme="minorHAnsi"/>
                <w:sz w:val="18"/>
                <w:szCs w:val="18"/>
              </w:rPr>
              <w:t>-3.049</w:t>
            </w:r>
          </w:p>
        </w:tc>
        <w:tc>
          <w:tcPr>
            <w:tcW w:w="1350" w:type="dxa"/>
            <w:tcBorders>
              <w:top w:val="nil"/>
            </w:tcBorders>
          </w:tcPr>
          <w:p w14:paraId="75CAAA0C" w14:textId="4C117E3C" w:rsidR="00FB688B" w:rsidRPr="00FB688B" w:rsidRDefault="00FB688B" w:rsidP="001D6CD5">
            <w:pPr>
              <w:jc w:val="center"/>
              <w:rPr>
                <w:rFonts w:cstheme="minorHAnsi"/>
                <w:sz w:val="18"/>
                <w:szCs w:val="18"/>
              </w:rPr>
            </w:pPr>
            <w:r w:rsidRPr="00FB688B">
              <w:rPr>
                <w:rFonts w:cstheme="minorHAnsi"/>
                <w:sz w:val="18"/>
                <w:szCs w:val="18"/>
              </w:rPr>
              <w:t>0.285</w:t>
            </w:r>
          </w:p>
        </w:tc>
        <w:tc>
          <w:tcPr>
            <w:tcW w:w="1350" w:type="dxa"/>
            <w:tcBorders>
              <w:top w:val="nil"/>
            </w:tcBorders>
          </w:tcPr>
          <w:p w14:paraId="2252CA01" w14:textId="55EE45D1" w:rsidR="00FB688B" w:rsidRPr="00FB688B" w:rsidRDefault="00FB688B" w:rsidP="001D6CD5">
            <w:pPr>
              <w:jc w:val="center"/>
              <w:rPr>
                <w:rFonts w:cstheme="minorHAnsi"/>
                <w:sz w:val="18"/>
                <w:szCs w:val="18"/>
              </w:rPr>
            </w:pPr>
            <w:r w:rsidRPr="00FB688B">
              <w:rPr>
                <w:rFonts w:cstheme="minorHAnsi"/>
                <w:sz w:val="18"/>
                <w:szCs w:val="18"/>
              </w:rPr>
              <w:t>-2.311</w:t>
            </w:r>
          </w:p>
        </w:tc>
        <w:tc>
          <w:tcPr>
            <w:tcW w:w="1350" w:type="dxa"/>
            <w:tcBorders>
              <w:top w:val="nil"/>
            </w:tcBorders>
          </w:tcPr>
          <w:p w14:paraId="1968807E" w14:textId="6629AB07" w:rsidR="00FB688B" w:rsidRPr="00FB688B" w:rsidRDefault="00FB688B" w:rsidP="001D6CD5">
            <w:pPr>
              <w:jc w:val="center"/>
              <w:rPr>
                <w:rFonts w:cstheme="minorHAnsi"/>
                <w:sz w:val="18"/>
                <w:szCs w:val="18"/>
              </w:rPr>
            </w:pPr>
            <w:r w:rsidRPr="00FB688B">
              <w:rPr>
                <w:rFonts w:cstheme="minorHAnsi"/>
                <w:sz w:val="18"/>
                <w:szCs w:val="18"/>
              </w:rPr>
              <w:t>0.252</w:t>
            </w:r>
          </w:p>
        </w:tc>
        <w:tc>
          <w:tcPr>
            <w:tcW w:w="1170" w:type="dxa"/>
            <w:tcBorders>
              <w:top w:val="nil"/>
            </w:tcBorders>
          </w:tcPr>
          <w:p w14:paraId="3E0287C4" w14:textId="0F33C76A" w:rsidR="00FB688B" w:rsidRPr="00FB688B" w:rsidRDefault="00FB688B" w:rsidP="001D6CD5">
            <w:pPr>
              <w:jc w:val="center"/>
              <w:rPr>
                <w:rFonts w:cstheme="minorHAnsi"/>
                <w:sz w:val="18"/>
                <w:szCs w:val="18"/>
              </w:rPr>
            </w:pPr>
            <w:r w:rsidRPr="00FB688B">
              <w:rPr>
                <w:rFonts w:cstheme="minorHAnsi"/>
                <w:sz w:val="18"/>
                <w:szCs w:val="18"/>
              </w:rPr>
              <w:t>-3.182</w:t>
            </w:r>
          </w:p>
        </w:tc>
        <w:tc>
          <w:tcPr>
            <w:tcW w:w="1350" w:type="dxa"/>
            <w:tcBorders>
              <w:top w:val="nil"/>
              <w:right w:val="nil"/>
            </w:tcBorders>
          </w:tcPr>
          <w:p w14:paraId="5D1C4D4C" w14:textId="5075DFA2" w:rsidR="00FB688B" w:rsidRPr="00FB688B" w:rsidRDefault="00FB688B" w:rsidP="001D6CD5">
            <w:pPr>
              <w:jc w:val="center"/>
              <w:rPr>
                <w:rFonts w:cstheme="minorHAnsi"/>
                <w:sz w:val="18"/>
                <w:szCs w:val="18"/>
              </w:rPr>
            </w:pPr>
            <w:r w:rsidRPr="00FB688B">
              <w:rPr>
                <w:rFonts w:cstheme="minorHAnsi"/>
                <w:sz w:val="18"/>
                <w:szCs w:val="18"/>
              </w:rPr>
              <w:t>0.260</w:t>
            </w:r>
          </w:p>
        </w:tc>
      </w:tr>
    </w:tbl>
    <w:p w14:paraId="00D836CA" w14:textId="77777777" w:rsidR="009D09DA" w:rsidRPr="00613F36" w:rsidRDefault="009D09DA">
      <w:pPr>
        <w:rPr>
          <w:rFonts w:cstheme="minorHAnsi"/>
          <w:sz w:val="20"/>
          <w:szCs w:val="20"/>
        </w:rPr>
      </w:pPr>
    </w:p>
    <w:sectPr w:rsidR="009D09DA" w:rsidRPr="00613F3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3054B" w14:textId="77777777" w:rsidR="00D1532B" w:rsidRDefault="00D1532B" w:rsidP="00480C82">
      <w:pPr>
        <w:spacing w:after="0" w:line="240" w:lineRule="auto"/>
      </w:pPr>
      <w:r>
        <w:separator/>
      </w:r>
    </w:p>
  </w:endnote>
  <w:endnote w:type="continuationSeparator" w:id="0">
    <w:p w14:paraId="65680CA6" w14:textId="77777777" w:rsidR="00D1532B" w:rsidRDefault="00D1532B" w:rsidP="00480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EFFB1" w14:textId="77777777" w:rsidR="00D1532B" w:rsidRDefault="00D1532B" w:rsidP="00480C82">
      <w:pPr>
        <w:spacing w:after="0" w:line="240" w:lineRule="auto"/>
      </w:pPr>
      <w:r>
        <w:separator/>
      </w:r>
    </w:p>
  </w:footnote>
  <w:footnote w:type="continuationSeparator" w:id="0">
    <w:p w14:paraId="307F68C4" w14:textId="77777777" w:rsidR="00D1532B" w:rsidRDefault="00D1532B" w:rsidP="00480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F406A" w14:textId="495651AB" w:rsidR="00480C82" w:rsidRPr="003D4AAC" w:rsidRDefault="00480C82">
    <w:pPr>
      <w:pStyle w:val="Header"/>
      <w:rPr>
        <w:sz w:val="24"/>
        <w:szCs w:val="24"/>
      </w:rPr>
    </w:pPr>
    <w:r w:rsidRPr="003D4AAC">
      <w:rPr>
        <w:rFonts w:ascii="Helvetica" w:eastAsiaTheme="majorEastAsia" w:hAnsi="Helvetica" w:cstheme="majorBidi"/>
        <w:sz w:val="20"/>
        <w:szCs w:val="20"/>
      </w:rPr>
      <w:t>Sea Lice Data Preliminary Results</w:t>
    </w:r>
    <w:r w:rsidRPr="003D4AAC">
      <w:rPr>
        <w:rFonts w:ascii="Helvetica" w:eastAsiaTheme="majorEastAsia" w:hAnsi="Helvetica" w:cstheme="majorBidi"/>
        <w:sz w:val="20"/>
        <w:szCs w:val="20"/>
      </w:rPr>
      <w:ptab w:relativeTo="margin" w:alignment="right" w:leader="none"/>
    </w:r>
    <w:sdt>
      <w:sdtPr>
        <w:rPr>
          <w:rFonts w:ascii="Helvetica" w:eastAsiaTheme="majorEastAsia" w:hAnsi="Helvetica" w:cstheme="majorBidi"/>
          <w:sz w:val="20"/>
          <w:szCs w:val="20"/>
        </w:rPr>
        <w:alias w:val="Date"/>
        <w:id w:val="78404859"/>
        <w:placeholder>
          <w:docPart w:val="16ED6528082E47688EE845010D047C05"/>
        </w:placeholder>
        <w:dataBinding w:prefixMappings="xmlns:ns0='http://schemas.microsoft.com/office/2006/coverPageProps'" w:xpath="/ns0:CoverPageProperties[1]/ns0:PublishDate[1]" w:storeItemID="{55AF091B-3C7A-41E3-B477-F2FDAA23CFDA}"/>
        <w:date w:fullDate="2018-10-24T00:00:00Z">
          <w:dateFormat w:val="MMMM d, yyyy"/>
          <w:lid w:val="en-US"/>
          <w:storeMappedDataAs w:val="dateTime"/>
          <w:calendar w:val="gregorian"/>
        </w:date>
      </w:sdtPr>
      <w:sdtEndPr/>
      <w:sdtContent>
        <w:r w:rsidRPr="003D4AAC">
          <w:rPr>
            <w:rFonts w:ascii="Helvetica" w:eastAsiaTheme="majorEastAsia" w:hAnsi="Helvetica" w:cstheme="majorBidi"/>
            <w:sz w:val="20"/>
            <w:szCs w:val="20"/>
            <w:lang w:val="en-US"/>
          </w:rPr>
          <w:t>October 24, 2018</w:t>
        </w:r>
      </w:sdtContent>
    </w:sdt>
  </w:p>
  <w:p w14:paraId="0F87F87F" w14:textId="77777777" w:rsidR="00480C82" w:rsidRPr="00480C82" w:rsidRDefault="00480C82">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82"/>
    <w:rsid w:val="000F2FCD"/>
    <w:rsid w:val="00170A15"/>
    <w:rsid w:val="00173422"/>
    <w:rsid w:val="00193139"/>
    <w:rsid w:val="002951E3"/>
    <w:rsid w:val="002C1687"/>
    <w:rsid w:val="003D4AAC"/>
    <w:rsid w:val="00406801"/>
    <w:rsid w:val="004501A9"/>
    <w:rsid w:val="00480C82"/>
    <w:rsid w:val="004F481D"/>
    <w:rsid w:val="005146BC"/>
    <w:rsid w:val="005157AA"/>
    <w:rsid w:val="00613F36"/>
    <w:rsid w:val="00686B1E"/>
    <w:rsid w:val="007822EC"/>
    <w:rsid w:val="0084095E"/>
    <w:rsid w:val="00841984"/>
    <w:rsid w:val="00995CB5"/>
    <w:rsid w:val="009D09DA"/>
    <w:rsid w:val="00A26A7A"/>
    <w:rsid w:val="00A771D6"/>
    <w:rsid w:val="00AC644D"/>
    <w:rsid w:val="00B22847"/>
    <w:rsid w:val="00B54E39"/>
    <w:rsid w:val="00C562FA"/>
    <w:rsid w:val="00C90625"/>
    <w:rsid w:val="00D1532B"/>
    <w:rsid w:val="00D52279"/>
    <w:rsid w:val="00DC00A2"/>
    <w:rsid w:val="00DE177F"/>
    <w:rsid w:val="00ED08ED"/>
    <w:rsid w:val="00F42A9C"/>
    <w:rsid w:val="00FB68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43F9C"/>
  <w15:chartTrackingRefBased/>
  <w15:docId w15:val="{8ACF7A53-4692-4D04-8351-C183606A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C82"/>
  </w:style>
  <w:style w:type="paragraph" w:styleId="Footer">
    <w:name w:val="footer"/>
    <w:basedOn w:val="Normal"/>
    <w:link w:val="FooterChar"/>
    <w:uiPriority w:val="99"/>
    <w:unhideWhenUsed/>
    <w:rsid w:val="00480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C82"/>
  </w:style>
  <w:style w:type="table" w:styleId="TableGrid">
    <w:name w:val="Table Grid"/>
    <w:basedOn w:val="TableNormal"/>
    <w:uiPriority w:val="39"/>
    <w:rsid w:val="00450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33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ED6528082E47688EE845010D047C05"/>
        <w:category>
          <w:name w:val="General"/>
          <w:gallery w:val="placeholder"/>
        </w:category>
        <w:types>
          <w:type w:val="bbPlcHdr"/>
        </w:types>
        <w:behaviors>
          <w:behavior w:val="content"/>
        </w:behaviors>
        <w:guid w:val="{AEF1066E-EB42-4339-B998-A07CC5D04FD7}"/>
      </w:docPartPr>
      <w:docPartBody>
        <w:p w:rsidR="009A542A" w:rsidRDefault="00E85832" w:rsidP="00E85832">
          <w:pPr>
            <w:pStyle w:val="16ED6528082E47688EE845010D047C05"/>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32"/>
    <w:rsid w:val="001A4852"/>
    <w:rsid w:val="003829D0"/>
    <w:rsid w:val="00745647"/>
    <w:rsid w:val="00994458"/>
    <w:rsid w:val="009A542A"/>
    <w:rsid w:val="00A9774B"/>
    <w:rsid w:val="00B976D5"/>
    <w:rsid w:val="00E85832"/>
    <w:rsid w:val="00EE04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003CFFD13F4336AE46F9B11467A946">
    <w:name w:val="19003CFFD13F4336AE46F9B11467A946"/>
    <w:rsid w:val="00E85832"/>
  </w:style>
  <w:style w:type="paragraph" w:customStyle="1" w:styleId="16ED6528082E47688EE845010D047C05">
    <w:name w:val="16ED6528082E47688EE845010D047C05"/>
    <w:rsid w:val="00E858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Brookson</dc:creator>
  <cp:keywords/>
  <dc:description/>
  <cp:lastModifiedBy>Cole Brookson</cp:lastModifiedBy>
  <cp:revision>9</cp:revision>
  <dcterms:created xsi:type="dcterms:W3CDTF">2018-10-25T02:19:00Z</dcterms:created>
  <dcterms:modified xsi:type="dcterms:W3CDTF">2018-10-26T01:40:00Z</dcterms:modified>
</cp:coreProperties>
</file>