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D356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b/>
          <w:color w:val="000000" w:themeColor="text1"/>
          <w:sz w:val="32"/>
        </w:rPr>
      </w:pPr>
      <w:r w:rsidRPr="006A79C5">
        <w:rPr>
          <w:rFonts w:ascii="Calibri" w:hAnsi="Calibri" w:cs="Arial"/>
          <w:b/>
          <w:color w:val="000000" w:themeColor="text1"/>
          <w:sz w:val="32"/>
        </w:rPr>
        <w:t>EMD 538</w:t>
      </w:r>
    </w:p>
    <w:p w14:paraId="6E78683D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b/>
          <w:color w:val="000000" w:themeColor="text1"/>
          <w:sz w:val="32"/>
        </w:rPr>
      </w:pPr>
      <w:r w:rsidRPr="006A79C5">
        <w:rPr>
          <w:rFonts w:ascii="Calibri" w:hAnsi="Calibri" w:cs="Arial"/>
          <w:b/>
          <w:color w:val="000000" w:themeColor="text1"/>
          <w:sz w:val="32"/>
        </w:rPr>
        <w:t>Lab 2</w:t>
      </w:r>
    </w:p>
    <w:p w14:paraId="1C43D42A" w14:textId="216642D2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b/>
          <w:color w:val="000000" w:themeColor="text1"/>
          <w:sz w:val="32"/>
        </w:rPr>
      </w:pPr>
      <w:r w:rsidRPr="006A79C5">
        <w:rPr>
          <w:rFonts w:ascii="Calibri" w:hAnsi="Calibri" w:cs="Arial"/>
          <w:b/>
          <w:color w:val="000000" w:themeColor="text1"/>
          <w:sz w:val="32"/>
        </w:rPr>
        <w:t xml:space="preserve">September </w:t>
      </w:r>
      <w:r w:rsidR="00BF6079" w:rsidRPr="006A79C5">
        <w:rPr>
          <w:rFonts w:ascii="Calibri" w:hAnsi="Calibri" w:cs="Arial"/>
          <w:b/>
          <w:color w:val="000000" w:themeColor="text1"/>
          <w:sz w:val="32"/>
        </w:rPr>
        <w:t>1</w:t>
      </w:r>
      <w:r w:rsidR="00DA7800">
        <w:rPr>
          <w:rFonts w:ascii="Calibri" w:hAnsi="Calibri" w:cs="Arial"/>
          <w:b/>
          <w:color w:val="000000" w:themeColor="text1"/>
          <w:sz w:val="32"/>
        </w:rPr>
        <w:t>5</w:t>
      </w:r>
      <w:r w:rsidR="00BF6079" w:rsidRPr="006A79C5">
        <w:rPr>
          <w:rFonts w:ascii="Calibri" w:hAnsi="Calibri" w:cs="Arial"/>
          <w:b/>
          <w:color w:val="000000" w:themeColor="text1"/>
          <w:sz w:val="32"/>
        </w:rPr>
        <w:t xml:space="preserve">, </w:t>
      </w:r>
      <w:r w:rsidR="00DA7800">
        <w:rPr>
          <w:rFonts w:ascii="Calibri" w:hAnsi="Calibri" w:cs="Arial"/>
          <w:b/>
          <w:color w:val="000000" w:themeColor="text1"/>
          <w:sz w:val="32"/>
        </w:rPr>
        <w:t>2023</w:t>
      </w:r>
    </w:p>
    <w:p w14:paraId="712F073A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379C00B3" w14:textId="3D327EA0" w:rsidR="00AE24DB" w:rsidRPr="006A79C5" w:rsidRDefault="00AE24DB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In today’s lab, we are going to analyze the data from Greenwood, </w:t>
      </w:r>
      <w:r w:rsidRPr="006A79C5">
        <w:rPr>
          <w:rFonts w:ascii="Calibri" w:hAnsi="Calibri" w:cs="Arial"/>
          <w:i/>
          <w:color w:val="000000" w:themeColor="text1"/>
        </w:rPr>
        <w:t>J Hygiene</w:t>
      </w:r>
      <w:r w:rsidRPr="006A79C5">
        <w:rPr>
          <w:rFonts w:ascii="Calibri" w:hAnsi="Calibri" w:cs="Arial"/>
          <w:color w:val="000000" w:themeColor="text1"/>
        </w:rPr>
        <w:t xml:space="preserve"> (1931) on the occurrence of measles in household contacts (children &lt;10 years of age) of an index case during a 1926 outbreak in St. Pancras (London).</w:t>
      </w:r>
    </w:p>
    <w:p w14:paraId="009CD307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51C08D75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Let's consider the households with m=3 contacts. </w:t>
      </w:r>
    </w:p>
    <w:p w14:paraId="11D056C1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5EB9F82C" w14:textId="345BA3D5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1. What is the total number of households with m=3 contacts?</w:t>
      </w:r>
    </w:p>
    <w:p w14:paraId="6DAB0EC0" w14:textId="77777777" w:rsidR="009259E0" w:rsidRPr="006A79C5" w:rsidRDefault="009259E0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1FDE3B88" w14:textId="77777777" w:rsidR="009259E0" w:rsidRPr="006A79C5" w:rsidRDefault="009259E0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1F729C8F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305E57A3" w14:textId="77777777" w:rsidR="00CB6851" w:rsidRPr="006A79C5" w:rsidRDefault="00CB6851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4CE5D30D" w14:textId="307C3626" w:rsidR="007B29C6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2. First, assume there is NO on-going transmission in households.  Estimate p from the secondary attack rate (SAR) among ALL households (assuming that everyone who was infected had symptom onset within the maximum serial interval).</w:t>
      </w:r>
    </w:p>
    <w:p w14:paraId="2B9EA527" w14:textId="77777777" w:rsidR="009259E0" w:rsidRPr="006A79C5" w:rsidRDefault="009259E0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00328D5B" w14:textId="77777777" w:rsidR="009259E0" w:rsidRPr="006A79C5" w:rsidRDefault="009259E0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2E659AC6" w14:textId="77777777" w:rsidR="009259E0" w:rsidRPr="006A79C5" w:rsidRDefault="009259E0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79BC2129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20037E6E" w14:textId="4115F6DC" w:rsidR="009259E0" w:rsidRPr="006A79C5" w:rsidRDefault="009259E0">
      <w:pPr>
        <w:rPr>
          <w:rFonts w:ascii="Calibri" w:hAnsi="Calibri" w:cs="Arial"/>
          <w:color w:val="000000" w:themeColor="text1"/>
        </w:rPr>
      </w:pPr>
    </w:p>
    <w:p w14:paraId="02AC38E8" w14:textId="77777777" w:rsidR="009259E0" w:rsidRPr="006A79C5" w:rsidRDefault="009259E0">
      <w:pPr>
        <w:rPr>
          <w:rFonts w:ascii="Calibri" w:hAnsi="Calibri" w:cs="Arial"/>
          <w:color w:val="000000" w:themeColor="text1"/>
        </w:rPr>
      </w:pPr>
    </w:p>
    <w:p w14:paraId="240FCDBC" w14:textId="77777777" w:rsidR="009259E0" w:rsidRPr="006A79C5" w:rsidRDefault="009259E0">
      <w:pPr>
        <w:rPr>
          <w:rFonts w:ascii="Calibri" w:hAnsi="Calibri" w:cs="Arial"/>
          <w:color w:val="000000" w:themeColor="text1"/>
        </w:rPr>
      </w:pPr>
    </w:p>
    <w:p w14:paraId="4151204C" w14:textId="0AEF790C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3. Calculate the expected frequency of secondary infections</w:t>
      </w:r>
      <w:r w:rsidR="006361DD" w:rsidRPr="006A79C5">
        <w:rPr>
          <w:rFonts w:ascii="Calibri" w:hAnsi="Calibri" w:cs="Arial"/>
          <w:color w:val="000000" w:themeColor="text1"/>
        </w:rPr>
        <w:t xml:space="preserve"> (for m=3)</w:t>
      </w:r>
      <w:r w:rsidRPr="006A79C5">
        <w:rPr>
          <w:rFonts w:ascii="Calibri" w:hAnsi="Calibri" w:cs="Arial"/>
          <w:color w:val="000000" w:themeColor="text1"/>
        </w:rPr>
        <w:t xml:space="preserve"> given NO on-going transmission.</w:t>
      </w:r>
    </w:p>
    <w:p w14:paraId="24215375" w14:textId="5A76921D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07269F25" w14:textId="77777777" w:rsidR="00CB6851" w:rsidRPr="006A79C5" w:rsidRDefault="00CB6851">
      <w:pPr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br w:type="page"/>
      </w:r>
    </w:p>
    <w:p w14:paraId="2D8B73C4" w14:textId="2E54D2C5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lastRenderedPageBreak/>
        <w:t xml:space="preserve">Now let's estimate p and q for the chain binomial model. </w:t>
      </w:r>
    </w:p>
    <w:p w14:paraId="59E4EBE3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3E3A3A75" w14:textId="74EE18C0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4. Calculate the observed mean number of infected contacts</w:t>
      </w:r>
      <w:r w:rsidR="006361DD" w:rsidRPr="006A79C5">
        <w:rPr>
          <w:rFonts w:ascii="Calibri" w:hAnsi="Calibri" w:cs="Arial"/>
          <w:color w:val="000000" w:themeColor="text1"/>
        </w:rPr>
        <w:t xml:space="preserve"> for m=3</w:t>
      </w:r>
      <w:r w:rsidRPr="006A79C5">
        <w:rPr>
          <w:rFonts w:ascii="Calibri" w:hAnsi="Calibri" w:cs="Arial"/>
          <w:color w:val="000000" w:themeColor="text1"/>
        </w:rPr>
        <w:t>.</w:t>
      </w:r>
    </w:p>
    <w:p w14:paraId="5AE16FEC" w14:textId="6FB3FE2B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672AAC82" w14:textId="77777777" w:rsidR="00CB6851" w:rsidRPr="006A79C5" w:rsidRDefault="00CB6851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6B28DEDA" w14:textId="77777777" w:rsidR="00CB6851" w:rsidRPr="006A79C5" w:rsidRDefault="00CB6851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19FA330E" w14:textId="77777777" w:rsidR="00CB6851" w:rsidRPr="006A79C5" w:rsidRDefault="00CB6851" w:rsidP="00AE24DB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2E855C41" w14:textId="77777777" w:rsidR="00CB6851" w:rsidRPr="006A79C5" w:rsidRDefault="00CB6851" w:rsidP="00AE24DB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78220FC5" w14:textId="12752D68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5. Define the equation for the expected number of infected contacts, then solve.</w:t>
      </w:r>
    </w:p>
    <w:p w14:paraId="36F9893A" w14:textId="28362DD7" w:rsidR="006E1689" w:rsidRPr="006A79C5" w:rsidRDefault="006E1689" w:rsidP="00AE24DB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4DC3DEFE" w14:textId="77777777" w:rsidR="00AE24DB" w:rsidRPr="006A79C5" w:rsidRDefault="00AE24DB" w:rsidP="00AE24DB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3A7BD6C9" w14:textId="77777777" w:rsidR="00AE24DB" w:rsidRPr="006A79C5" w:rsidRDefault="00AE24DB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4D30FDFB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6B8C7440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0654B4F0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7AAE0E10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025E6278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79F4435F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2AC9930B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121ADD66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2BAC41B6" w14:textId="77777777" w:rsidR="00CB6851" w:rsidRPr="006A79C5" w:rsidRDefault="00CB6851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07C8209B" w14:textId="77777777" w:rsidR="003E0756" w:rsidRDefault="003E0756">
      <w:p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br w:type="page"/>
      </w:r>
    </w:p>
    <w:p w14:paraId="5ADBDE39" w14:textId="10A43D16" w:rsidR="00AE24DB" w:rsidRPr="006A79C5" w:rsidRDefault="00AE24DB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lastRenderedPageBreak/>
        <w:t xml:space="preserve">Now let’s do this in </w:t>
      </w:r>
      <w:r w:rsidR="00332575" w:rsidRPr="006A79C5">
        <w:rPr>
          <w:rFonts w:ascii="Calibri" w:hAnsi="Calibri" w:cs="Arial"/>
          <w:color w:val="000000" w:themeColor="text1"/>
        </w:rPr>
        <w:t>R</w:t>
      </w:r>
      <w:r w:rsidRPr="006A79C5">
        <w:rPr>
          <w:rFonts w:ascii="Calibri" w:hAnsi="Calibri" w:cs="Arial"/>
          <w:color w:val="000000" w:themeColor="text1"/>
        </w:rPr>
        <w:t>…</w:t>
      </w:r>
    </w:p>
    <w:p w14:paraId="76D3B0D6" w14:textId="77777777" w:rsidR="00AE24DB" w:rsidRPr="006A79C5" w:rsidRDefault="00AE24DB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34353036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Input the data from Greenwood (1931)</w:t>
      </w:r>
      <w:r w:rsidR="001F3A66" w:rsidRPr="006A79C5">
        <w:rPr>
          <w:rFonts w:ascii="Calibri" w:hAnsi="Calibri" w:cs="Arial"/>
          <w:color w:val="000000" w:themeColor="text1"/>
        </w:rPr>
        <w:t>.</w:t>
      </w:r>
      <w:r w:rsidRPr="006A79C5">
        <w:rPr>
          <w:rFonts w:ascii="Calibri" w:hAnsi="Calibri" w:cs="Arial"/>
          <w:color w:val="000000" w:themeColor="text1"/>
        </w:rPr>
        <w:t xml:space="preserve"> </w:t>
      </w:r>
    </w:p>
    <w:p w14:paraId="77875012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34704D78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Let's consider the households with m=3 contacts</w:t>
      </w:r>
      <w:r w:rsidR="001F3A66" w:rsidRPr="006A79C5">
        <w:rPr>
          <w:rFonts w:ascii="Calibri" w:hAnsi="Calibri" w:cs="Arial"/>
          <w:color w:val="000000" w:themeColor="text1"/>
        </w:rPr>
        <w:t>.</w:t>
      </w:r>
      <w:r w:rsidRPr="006A79C5">
        <w:rPr>
          <w:rFonts w:ascii="Calibri" w:hAnsi="Calibri" w:cs="Arial"/>
          <w:color w:val="000000" w:themeColor="text1"/>
        </w:rPr>
        <w:t xml:space="preserve"> </w:t>
      </w:r>
    </w:p>
    <w:p w14:paraId="047203AD" w14:textId="77777777" w:rsidR="00A93069" w:rsidRPr="006A79C5" w:rsidRDefault="00A93069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  <w:lang w:eastAsia="ja-JP"/>
        </w:rPr>
      </w:pPr>
    </w:p>
    <w:p w14:paraId="50E26CF9" w14:textId="25C0F007" w:rsidR="007420E8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1. What is the total number of households (“c”) with m=3 contacts?</w:t>
      </w:r>
    </w:p>
    <w:p w14:paraId="75C500A6" w14:textId="77777777" w:rsidR="006A79C5" w:rsidRDefault="006A79C5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734188D5" w14:textId="77777777" w:rsidR="006A79C5" w:rsidRPr="006A79C5" w:rsidRDefault="006A79C5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73CD8DAF" w14:textId="1EE93DF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2. </w:t>
      </w:r>
      <w:r w:rsidR="00363355" w:rsidRPr="006A79C5">
        <w:rPr>
          <w:rFonts w:ascii="Calibri" w:hAnsi="Calibri" w:cs="Arial"/>
          <w:color w:val="000000" w:themeColor="text1"/>
        </w:rPr>
        <w:t xml:space="preserve">First, assume there is NO on-going transmission in households.  </w:t>
      </w:r>
      <w:r w:rsidRPr="006A79C5">
        <w:rPr>
          <w:rFonts w:ascii="Calibri" w:hAnsi="Calibri" w:cs="Arial"/>
          <w:color w:val="000000" w:themeColor="text1"/>
        </w:rPr>
        <w:t>Estimate p fr</w:t>
      </w:r>
      <w:r w:rsidR="001F3A66" w:rsidRPr="006A79C5">
        <w:rPr>
          <w:rFonts w:ascii="Calibri" w:hAnsi="Calibri" w:cs="Arial"/>
          <w:color w:val="000000" w:themeColor="text1"/>
        </w:rPr>
        <w:t xml:space="preserve">om the </w:t>
      </w:r>
      <w:r w:rsidR="00C13E76" w:rsidRPr="006A79C5">
        <w:rPr>
          <w:rFonts w:ascii="Calibri" w:hAnsi="Calibri" w:cs="Arial"/>
          <w:color w:val="000000" w:themeColor="text1"/>
        </w:rPr>
        <w:t>secondary attack rate (</w:t>
      </w:r>
      <w:r w:rsidR="001F3A66" w:rsidRPr="006A79C5">
        <w:rPr>
          <w:rFonts w:ascii="Calibri" w:hAnsi="Calibri" w:cs="Arial"/>
          <w:color w:val="000000" w:themeColor="text1"/>
        </w:rPr>
        <w:t>SAR</w:t>
      </w:r>
      <w:r w:rsidR="00C13E76" w:rsidRPr="006A79C5">
        <w:rPr>
          <w:rFonts w:ascii="Calibri" w:hAnsi="Calibri" w:cs="Arial"/>
          <w:color w:val="000000" w:themeColor="text1"/>
        </w:rPr>
        <w:t>)</w:t>
      </w:r>
      <w:r w:rsidR="001F3A66" w:rsidRPr="006A79C5">
        <w:rPr>
          <w:rFonts w:ascii="Calibri" w:hAnsi="Calibri" w:cs="Arial"/>
          <w:color w:val="000000" w:themeColor="text1"/>
        </w:rPr>
        <w:t xml:space="preserve"> among ALL households</w:t>
      </w:r>
      <w:r w:rsidR="00C13E76" w:rsidRPr="006A79C5">
        <w:rPr>
          <w:rFonts w:ascii="Calibri" w:hAnsi="Calibri" w:cs="Arial"/>
          <w:color w:val="000000" w:themeColor="text1"/>
        </w:rPr>
        <w:t xml:space="preserve"> (assuming that everyone who was infected had symptom onset within the maximum serial interval)</w:t>
      </w:r>
      <w:r w:rsidR="001F3A66" w:rsidRPr="006A79C5">
        <w:rPr>
          <w:rFonts w:ascii="Calibri" w:hAnsi="Calibri" w:cs="Arial"/>
          <w:color w:val="000000" w:themeColor="text1"/>
        </w:rPr>
        <w:t>.</w:t>
      </w:r>
    </w:p>
    <w:p w14:paraId="3C427C56" w14:textId="38993815" w:rsidR="00785F22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342B52AF" w14:textId="77777777" w:rsidR="006A79C5" w:rsidRPr="006A79C5" w:rsidRDefault="006A79C5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5DA8B90C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3. Calculate the expected frequency of secondary infections given NO on-going transmission</w:t>
      </w:r>
      <w:r w:rsidR="001F3A66" w:rsidRPr="006A79C5">
        <w:rPr>
          <w:rFonts w:ascii="Calibri" w:hAnsi="Calibri" w:cs="Arial"/>
          <w:color w:val="000000" w:themeColor="text1"/>
        </w:rPr>
        <w:t>.</w:t>
      </w:r>
    </w:p>
    <w:p w14:paraId="2CCFD7FA" w14:textId="5AF61AB4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HINT: Use</w:t>
      </w:r>
      <w:r w:rsidR="007420E8" w:rsidRPr="006A79C5">
        <w:rPr>
          <w:rFonts w:ascii="Calibri" w:hAnsi="Calibri" w:cs="Arial"/>
          <w:color w:val="000000" w:themeColor="text1"/>
        </w:rPr>
        <w:t xml:space="preserve"> dbinom</w:t>
      </w:r>
    </w:p>
    <w:p w14:paraId="1AB3E2E1" w14:textId="7952DD5A" w:rsidR="00785F22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7D0FCE6D" w14:textId="77777777" w:rsidR="006A79C5" w:rsidRPr="006A79C5" w:rsidRDefault="006A79C5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02139B8C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Now let's estimate p and q for the chain binomial model</w:t>
      </w:r>
      <w:r w:rsidR="001F3A66" w:rsidRPr="006A79C5">
        <w:rPr>
          <w:rFonts w:ascii="Calibri" w:hAnsi="Calibri" w:cs="Arial"/>
          <w:color w:val="000000" w:themeColor="text1"/>
        </w:rPr>
        <w:t>.</w:t>
      </w:r>
      <w:r w:rsidRPr="006A79C5">
        <w:rPr>
          <w:rFonts w:ascii="Calibri" w:hAnsi="Calibri" w:cs="Arial"/>
          <w:color w:val="000000" w:themeColor="text1"/>
        </w:rPr>
        <w:t xml:space="preserve"> </w:t>
      </w:r>
    </w:p>
    <w:p w14:paraId="4542FA1D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3582037A" w14:textId="7DA3B341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4. Calcu</w:t>
      </w:r>
      <w:r w:rsidR="0068718C" w:rsidRPr="006A79C5">
        <w:rPr>
          <w:rFonts w:ascii="Calibri" w:hAnsi="Calibri" w:cs="Arial"/>
          <w:color w:val="000000" w:themeColor="text1"/>
        </w:rPr>
        <w:t>l</w:t>
      </w:r>
      <w:r w:rsidRPr="006A79C5">
        <w:rPr>
          <w:rFonts w:ascii="Calibri" w:hAnsi="Calibri" w:cs="Arial"/>
          <w:color w:val="000000" w:themeColor="text1"/>
        </w:rPr>
        <w:t>ate the observed mean number of infected contacts</w:t>
      </w:r>
      <w:r w:rsidR="001F3A66" w:rsidRPr="006A79C5">
        <w:rPr>
          <w:rFonts w:ascii="Calibri" w:hAnsi="Calibri" w:cs="Arial"/>
          <w:color w:val="000000" w:themeColor="text1"/>
        </w:rPr>
        <w:t>.</w:t>
      </w:r>
    </w:p>
    <w:p w14:paraId="10957B31" w14:textId="7B02C12D" w:rsidR="007420E8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173CE0CB" w14:textId="65EF8EE3" w:rsidR="00785F22" w:rsidRPr="006A79C5" w:rsidRDefault="00785F22" w:rsidP="007420E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5. </w:t>
      </w:r>
      <w:r w:rsidR="007420E8" w:rsidRPr="006A79C5">
        <w:rPr>
          <w:rFonts w:ascii="Calibri" w:hAnsi="Calibri" w:cs="Arial"/>
          <w:color w:val="000000" w:themeColor="text1"/>
        </w:rPr>
        <w:t>Use optimization to solve for the expected number of contacts (by minimizing the squared error)</w:t>
      </w:r>
    </w:p>
    <w:p w14:paraId="3249993F" w14:textId="77777777" w:rsidR="007420E8" w:rsidRDefault="007420E8" w:rsidP="007420E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626F170B" w14:textId="77777777" w:rsidR="006A79C5" w:rsidRPr="006A79C5" w:rsidRDefault="006A79C5" w:rsidP="007420E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15887E07" w14:textId="77777777" w:rsidR="00785F22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6. </w:t>
      </w:r>
      <w:r w:rsidR="00785F22" w:rsidRPr="006A79C5">
        <w:rPr>
          <w:rFonts w:ascii="Calibri" w:hAnsi="Calibri" w:cs="Arial"/>
          <w:color w:val="000000" w:themeColor="text1"/>
        </w:rPr>
        <w:t xml:space="preserve">Assign the value of </w:t>
      </w:r>
      <w:r w:rsidRPr="006A79C5">
        <w:rPr>
          <w:rFonts w:ascii="Calibri" w:hAnsi="Calibri" w:cs="Arial"/>
          <w:color w:val="000000" w:themeColor="text1"/>
        </w:rPr>
        <w:t>“</w:t>
      </w:r>
      <w:r w:rsidR="00785F22" w:rsidRPr="006A79C5">
        <w:rPr>
          <w:rFonts w:ascii="Calibri" w:hAnsi="Calibri" w:cs="Arial"/>
          <w:color w:val="000000" w:themeColor="text1"/>
        </w:rPr>
        <w:t>q</w:t>
      </w:r>
      <w:r w:rsidRPr="006A79C5">
        <w:rPr>
          <w:rFonts w:ascii="Calibri" w:hAnsi="Calibri" w:cs="Arial"/>
          <w:color w:val="000000" w:themeColor="text1"/>
        </w:rPr>
        <w:t>” that is a REAL number betwe</w:t>
      </w:r>
      <w:r w:rsidR="00785F22" w:rsidRPr="006A79C5">
        <w:rPr>
          <w:rFonts w:ascii="Calibri" w:hAnsi="Calibri" w:cs="Arial"/>
          <w:color w:val="000000" w:themeColor="text1"/>
        </w:rPr>
        <w:t>en 0 and 1</w:t>
      </w:r>
      <w:r w:rsidRPr="006A79C5">
        <w:rPr>
          <w:rFonts w:ascii="Calibri" w:hAnsi="Calibri" w:cs="Arial"/>
          <w:color w:val="000000" w:themeColor="text1"/>
        </w:rPr>
        <w:t xml:space="preserve"> and calculate “p”.</w:t>
      </w:r>
    </w:p>
    <w:p w14:paraId="1186A555" w14:textId="33B9C260" w:rsidR="00785F22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5AD3ED1E" w14:textId="77777777" w:rsidR="006A79C5" w:rsidRPr="006A79C5" w:rsidRDefault="006A79C5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75816A45" w14:textId="62BA7011" w:rsidR="00785F22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7. </w:t>
      </w:r>
      <w:r w:rsidR="00785F22" w:rsidRPr="006A79C5">
        <w:rPr>
          <w:rFonts w:ascii="Calibri" w:hAnsi="Calibri" w:cs="Arial"/>
          <w:color w:val="000000" w:themeColor="text1"/>
        </w:rPr>
        <w:t>Calculate the probability of each possible chain</w:t>
      </w:r>
      <w:r w:rsidR="00FC198D" w:rsidRPr="006A79C5">
        <w:rPr>
          <w:rFonts w:ascii="Calibri" w:hAnsi="Calibri" w:cs="Arial"/>
          <w:color w:val="000000" w:themeColor="text1"/>
        </w:rPr>
        <w:t>, using Greenwood assumption</w:t>
      </w:r>
      <w:r w:rsidRPr="006A79C5">
        <w:rPr>
          <w:rFonts w:ascii="Calibri" w:hAnsi="Calibri" w:cs="Arial"/>
          <w:color w:val="000000" w:themeColor="text1"/>
        </w:rPr>
        <w:t>.</w:t>
      </w:r>
    </w:p>
    <w:p w14:paraId="00D6C258" w14:textId="1D824A39" w:rsidR="00C26745" w:rsidRPr="006A79C5" w:rsidRDefault="00C26745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tbl>
      <w:tblPr>
        <w:tblW w:w="8794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725"/>
        <w:gridCol w:w="1807"/>
        <w:gridCol w:w="1926"/>
        <w:gridCol w:w="1803"/>
        <w:gridCol w:w="1533"/>
      </w:tblGrid>
      <w:tr w:rsidR="006A79C5" w:rsidRPr="006A79C5" w14:paraId="665153C3" w14:textId="77777777" w:rsidTr="00003267">
        <w:trPr>
          <w:trHeight w:val="838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8CAD5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>Number of contacts infected</w:t>
            </w: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A1BC1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>Possible chains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794CD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i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>Probability</w:t>
            </w:r>
          </w:p>
          <w:p w14:paraId="5E846692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>(Greenwood)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185FD0AC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 xml:space="preserve">  Probability</w:t>
            </w:r>
          </w:p>
          <w:p w14:paraId="2ED523F6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 xml:space="preserve">  (Reed-Frost)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14:paraId="41D1672A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 xml:space="preserve">Probability </w:t>
            </w:r>
          </w:p>
          <w:p w14:paraId="196F8516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bCs/>
                <w:color w:val="000000" w:themeColor="text1"/>
              </w:rPr>
            </w:pPr>
            <w:r w:rsidRPr="006A79C5">
              <w:rPr>
                <w:rFonts w:ascii="Calibri" w:hAnsi="Calibri" w:cs="Arial"/>
                <w:b/>
                <w:bCs/>
                <w:color w:val="000000" w:themeColor="text1"/>
              </w:rPr>
              <w:t>(in general)</w:t>
            </w:r>
          </w:p>
        </w:tc>
      </w:tr>
      <w:tr w:rsidR="006A79C5" w:rsidRPr="006A79C5" w14:paraId="510E6AC2" w14:textId="77777777" w:rsidTr="00003267">
        <w:trPr>
          <w:trHeight w:val="16"/>
        </w:trPr>
        <w:tc>
          <w:tcPr>
            <w:tcW w:w="1725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75793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0</w:t>
            </w:r>
          </w:p>
        </w:tc>
        <w:tc>
          <w:tcPr>
            <w:tcW w:w="1807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78649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0</w:t>
            </w:r>
          </w:p>
        </w:tc>
        <w:tc>
          <w:tcPr>
            <w:tcW w:w="1926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756DD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 xml:space="preserve">3 </w:t>
            </w:r>
          </w:p>
        </w:tc>
        <w:tc>
          <w:tcPr>
            <w:tcW w:w="1803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EBC4CE8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 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  <w:tc>
          <w:tcPr>
            <w:tcW w:w="1533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8DF13FB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i/>
                <w:iCs/>
                <w:color w:val="000000" w:themeColor="text1"/>
              </w:rPr>
            </w:pP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</w:tr>
      <w:tr w:rsidR="006A79C5" w:rsidRPr="006A79C5" w14:paraId="1F84B117" w14:textId="77777777" w:rsidTr="00003267">
        <w:trPr>
          <w:trHeight w:val="151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287DE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31F00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90431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4</w:t>
            </w:r>
            <w:r w:rsidRPr="006A79C5">
              <w:rPr>
                <w:rFonts w:ascii="Calibri" w:hAnsi="Calibri" w:cs="Arial"/>
                <w:color w:val="000000" w:themeColor="text1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F728053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4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B1D6A7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 xml:space="preserve">1 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4</w:t>
            </w:r>
          </w:p>
        </w:tc>
      </w:tr>
      <w:tr w:rsidR="006A79C5" w:rsidRPr="006A79C5" w14:paraId="769A8C26" w14:textId="77777777" w:rsidTr="00003267">
        <w:trPr>
          <w:trHeight w:val="25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A92E7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2</w:t>
            </w: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26FB4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40050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6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4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67BCF88B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6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4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797D385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6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4</w:t>
            </w:r>
          </w:p>
        </w:tc>
      </w:tr>
      <w:tr w:rsidR="006A79C5" w:rsidRPr="006A79C5" w14:paraId="71FFB64B" w14:textId="77777777" w:rsidTr="00003267">
        <w:trPr>
          <w:trHeight w:val="25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F9128" w14:textId="77777777" w:rsidR="00003267" w:rsidRPr="006A79C5" w:rsidRDefault="00003267">
            <w:pPr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6F0A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2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0C5B9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color w:val="000000" w:themeColor="text1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00"/>
            <w:hideMark/>
          </w:tcPr>
          <w:p w14:paraId="438E240C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00"/>
            <w:hideMark/>
          </w:tcPr>
          <w:p w14:paraId="3F09B208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2</w:t>
            </w:r>
          </w:p>
        </w:tc>
      </w:tr>
      <w:tr w:rsidR="006A79C5" w:rsidRPr="006A79C5" w14:paraId="5851E02C" w14:textId="77777777" w:rsidTr="00003267">
        <w:trPr>
          <w:trHeight w:val="25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14FD5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3</w:t>
            </w: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0907F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3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42430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color w:val="000000" w:themeColor="text1"/>
              </w:rPr>
              <w:t xml:space="preserve"> 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C3D2D4B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 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1FF4048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i/>
                <w:iCs/>
                <w:color w:val="000000" w:themeColor="text1"/>
              </w:rPr>
            </w:pP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 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</w:tr>
      <w:tr w:rsidR="006A79C5" w:rsidRPr="006A79C5" w14:paraId="776A3444" w14:textId="77777777" w:rsidTr="00003267">
        <w:trPr>
          <w:trHeight w:val="25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E5E7" w14:textId="77777777" w:rsidR="00003267" w:rsidRPr="006A79C5" w:rsidRDefault="00003267">
            <w:pPr>
              <w:rPr>
                <w:rFonts w:ascii="Calibri" w:hAnsi="Calibri" w:cs="Arial"/>
                <w:i/>
                <w:iCs/>
                <w:color w:val="000000" w:themeColor="text1"/>
              </w:rPr>
            </w:pP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DBAAA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EED3D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6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402310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6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0E8DF7DB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6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</w:p>
        </w:tc>
      </w:tr>
      <w:tr w:rsidR="006A79C5" w:rsidRPr="006A79C5" w14:paraId="24CE983F" w14:textId="77777777" w:rsidTr="00003267">
        <w:trPr>
          <w:trHeight w:val="79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41F3F" w14:textId="77777777" w:rsidR="00003267" w:rsidRPr="006A79C5" w:rsidRDefault="00003267">
            <w:pPr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F882E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2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33D0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00"/>
            <w:hideMark/>
          </w:tcPr>
          <w:p w14:paraId="19188A02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iCs/>
                <w:color w:val="000000" w:themeColor="text1"/>
              </w:rPr>
              <w:t>(1-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Cs/>
                <w:color w:val="000000" w:themeColor="text1"/>
              </w:rPr>
              <w:t>)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00"/>
            <w:hideMark/>
          </w:tcPr>
          <w:p w14:paraId="5D73213A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2</w:t>
            </w:r>
          </w:p>
        </w:tc>
      </w:tr>
      <w:tr w:rsidR="00003267" w:rsidRPr="006A79C5" w14:paraId="2A243FAC" w14:textId="77777777" w:rsidTr="00003267">
        <w:trPr>
          <w:trHeight w:val="178"/>
        </w:trPr>
        <w:tc>
          <w:tcPr>
            <w:tcW w:w="17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36B20" w14:textId="77777777" w:rsidR="00003267" w:rsidRPr="006A79C5" w:rsidRDefault="00003267">
            <w:pPr>
              <w:rPr>
                <w:rFonts w:ascii="Calibri" w:hAnsi="Calibri" w:cs="Arial"/>
                <w:color w:val="000000" w:themeColor="text1"/>
              </w:rPr>
            </w:pPr>
          </w:p>
        </w:tc>
        <w:tc>
          <w:tcPr>
            <w:tcW w:w="18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173FC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</w:rPr>
              <w:sym w:font="Wingdings" w:char="F0E0"/>
            </w:r>
            <w:r w:rsidRPr="006A79C5">
              <w:rPr>
                <w:rFonts w:ascii="Calibri" w:hAnsi="Calibri" w:cs="Arial"/>
                <w:color w:val="000000" w:themeColor="text1"/>
              </w:rPr>
              <w:t>2</w:t>
            </w:r>
          </w:p>
        </w:tc>
        <w:tc>
          <w:tcPr>
            <w:tcW w:w="19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B375B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3437695D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q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</w:p>
        </w:tc>
        <w:tc>
          <w:tcPr>
            <w:tcW w:w="1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CD1DD51" w14:textId="77777777" w:rsidR="00003267" w:rsidRPr="006A79C5" w:rsidRDefault="0000326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color w:val="000000" w:themeColor="text1"/>
              </w:rPr>
            </w:pPr>
            <w:r w:rsidRPr="006A79C5">
              <w:rPr>
                <w:rFonts w:ascii="Calibri" w:hAnsi="Calibri" w:cs="Arial"/>
                <w:color w:val="000000" w:themeColor="text1"/>
              </w:rPr>
              <w:t xml:space="preserve">  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>p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3</w:t>
            </w:r>
            <w:r w:rsidRPr="006A79C5">
              <w:rPr>
                <w:rFonts w:ascii="Calibri" w:hAnsi="Calibri" w:cs="Arial"/>
                <w:i/>
                <w:iCs/>
                <w:color w:val="000000" w:themeColor="text1"/>
              </w:rPr>
              <w:t xml:space="preserve"> q</w:t>
            </w:r>
            <w:r w:rsidRPr="006A79C5">
              <w:rPr>
                <w:rFonts w:ascii="Calibri" w:hAnsi="Calibri" w:cs="Arial"/>
                <w:iCs/>
                <w:color w:val="000000" w:themeColor="text1"/>
                <w:vertAlign w:val="subscript"/>
              </w:rPr>
              <w:t>1</w:t>
            </w:r>
            <w:r w:rsidRPr="006A79C5">
              <w:rPr>
                <w:rFonts w:ascii="Calibri" w:hAnsi="Calibri" w:cs="Arial"/>
                <w:color w:val="000000" w:themeColor="text1"/>
                <w:vertAlign w:val="superscript"/>
              </w:rPr>
              <w:t>2</w:t>
            </w:r>
          </w:p>
        </w:tc>
      </w:tr>
    </w:tbl>
    <w:p w14:paraId="6EC4F6C3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2680BC63" w14:textId="7862AD6B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33C7F297" w14:textId="078E9B04" w:rsidR="00785F22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8. </w:t>
      </w:r>
      <w:r w:rsidR="00785F22" w:rsidRPr="006A79C5">
        <w:rPr>
          <w:rFonts w:ascii="Calibri" w:hAnsi="Calibri" w:cs="Arial"/>
          <w:color w:val="000000" w:themeColor="text1"/>
        </w:rPr>
        <w:t>Calculate the probability of each possible number of secondary infections</w:t>
      </w:r>
      <w:r w:rsidR="006876CA" w:rsidRPr="006A79C5">
        <w:rPr>
          <w:rFonts w:ascii="Calibri" w:hAnsi="Calibri" w:cs="Arial"/>
          <w:color w:val="000000" w:themeColor="text1"/>
        </w:rPr>
        <w:t>, using Greenwood assumption</w:t>
      </w:r>
      <w:r w:rsidRPr="006A79C5">
        <w:rPr>
          <w:rFonts w:ascii="Calibri" w:hAnsi="Calibri" w:cs="Arial"/>
          <w:color w:val="000000" w:themeColor="text1"/>
        </w:rPr>
        <w:t>.</w:t>
      </w:r>
    </w:p>
    <w:p w14:paraId="18B24F6B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32ED8DAF" w14:textId="7CA3EC2F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5E61497D" w14:textId="6965BE4A" w:rsidR="00785F22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9.</w:t>
      </w:r>
      <w:r w:rsidR="00785F22" w:rsidRPr="006A79C5">
        <w:rPr>
          <w:rFonts w:ascii="Calibri" w:hAnsi="Calibri" w:cs="Arial"/>
          <w:color w:val="000000" w:themeColor="text1"/>
        </w:rPr>
        <w:t xml:space="preserve"> Calculate the expected distribution of secondary infections</w:t>
      </w:r>
      <w:r w:rsidR="00060F25" w:rsidRPr="006A79C5">
        <w:rPr>
          <w:rFonts w:ascii="Calibri" w:hAnsi="Calibri" w:cs="Arial"/>
          <w:color w:val="000000" w:themeColor="text1"/>
        </w:rPr>
        <w:t>, using Greenwood assumption</w:t>
      </w:r>
      <w:r w:rsidRPr="006A79C5">
        <w:rPr>
          <w:rFonts w:ascii="Calibri" w:hAnsi="Calibri" w:cs="Arial"/>
          <w:color w:val="000000" w:themeColor="text1"/>
        </w:rPr>
        <w:t>.</w:t>
      </w:r>
    </w:p>
    <w:p w14:paraId="554D3539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248451C4" w14:textId="37A8D344" w:rsidR="001F3A66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034187DA" w14:textId="77777777" w:rsidR="00785F22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10. </w:t>
      </w:r>
      <w:r w:rsidR="00785F22" w:rsidRPr="006A79C5">
        <w:rPr>
          <w:rFonts w:ascii="Calibri" w:hAnsi="Calibri" w:cs="Arial"/>
          <w:color w:val="000000" w:themeColor="text1"/>
        </w:rPr>
        <w:t>What if we follow the Reed-Frost assumption instead of the Greenwood assumption?</w:t>
      </w:r>
      <w:r w:rsidRPr="006A79C5">
        <w:rPr>
          <w:rFonts w:ascii="Calibri" w:hAnsi="Calibri" w:cs="Arial"/>
          <w:color w:val="000000" w:themeColor="text1"/>
        </w:rPr>
        <w:t xml:space="preserve">  </w:t>
      </w:r>
      <w:r w:rsidR="00785F22" w:rsidRPr="006A79C5">
        <w:rPr>
          <w:rFonts w:ascii="Calibri" w:hAnsi="Calibri" w:cs="Arial"/>
          <w:color w:val="000000" w:themeColor="text1"/>
        </w:rPr>
        <w:t>Re-calculate the probability of each chain (using the same values of p</w:t>
      </w:r>
      <w:r w:rsidRPr="006A79C5">
        <w:rPr>
          <w:rFonts w:ascii="Calibri" w:hAnsi="Calibri" w:cs="Arial"/>
          <w:color w:val="000000" w:themeColor="text1"/>
        </w:rPr>
        <w:t xml:space="preserve"> </w:t>
      </w:r>
      <w:r w:rsidR="00785F22" w:rsidRPr="006A79C5">
        <w:rPr>
          <w:rFonts w:ascii="Calibri" w:hAnsi="Calibri" w:cs="Arial"/>
          <w:color w:val="000000" w:themeColor="text1"/>
        </w:rPr>
        <w:t>and q)</w:t>
      </w:r>
      <w:r w:rsidRPr="006A79C5">
        <w:rPr>
          <w:rFonts w:ascii="Calibri" w:hAnsi="Calibri" w:cs="Arial"/>
          <w:color w:val="000000" w:themeColor="text1"/>
        </w:rPr>
        <w:t>.</w:t>
      </w:r>
    </w:p>
    <w:p w14:paraId="040559CA" w14:textId="77777777" w:rsidR="00785F22" w:rsidRPr="006A79C5" w:rsidRDefault="00785F22" w:rsidP="00785F22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203486A9" w14:textId="77777777" w:rsidR="001F3A66" w:rsidRPr="006A79C5" w:rsidRDefault="001F3A66" w:rsidP="00785F22">
      <w:pPr>
        <w:widowControl w:val="0"/>
        <w:autoSpaceDE w:val="0"/>
        <w:autoSpaceDN w:val="0"/>
        <w:adjustRightInd w:val="0"/>
        <w:rPr>
          <w:rFonts w:ascii="Calibri" w:hAnsi="Calibri" w:cs="Courier"/>
          <w:color w:val="000000" w:themeColor="text1"/>
        </w:rPr>
      </w:pPr>
    </w:p>
    <w:p w14:paraId="0042E79D" w14:textId="16C13E23" w:rsidR="00785F22" w:rsidRPr="006A79C5" w:rsidRDefault="00785F22" w:rsidP="00A61A19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>Now let's relax our assumptions and estimate separate values for q1 and q2</w:t>
      </w:r>
      <w:r w:rsidR="001F3A66" w:rsidRPr="006A79C5">
        <w:rPr>
          <w:rFonts w:ascii="Calibri" w:hAnsi="Calibri" w:cs="Arial"/>
          <w:color w:val="000000" w:themeColor="text1"/>
        </w:rPr>
        <w:t xml:space="preserve">.  </w:t>
      </w:r>
      <w:r w:rsidRPr="006A79C5">
        <w:rPr>
          <w:rFonts w:ascii="Calibri" w:hAnsi="Calibri" w:cs="Arial"/>
          <w:color w:val="000000" w:themeColor="text1"/>
        </w:rPr>
        <w:t>We can make an initial "guess" at what the values of q1 and q2 are (see</w:t>
      </w:r>
      <w:r w:rsidR="001F3A66" w:rsidRPr="006A79C5">
        <w:rPr>
          <w:rFonts w:ascii="Calibri" w:hAnsi="Calibri" w:cs="Arial"/>
          <w:color w:val="000000" w:themeColor="text1"/>
        </w:rPr>
        <w:t xml:space="preserve"> </w:t>
      </w:r>
      <w:r w:rsidRPr="006A79C5">
        <w:rPr>
          <w:rFonts w:ascii="Calibri" w:hAnsi="Calibri" w:cs="Arial"/>
          <w:color w:val="000000" w:themeColor="text1"/>
        </w:rPr>
        <w:t>Becker (1989) p. 18)</w:t>
      </w:r>
      <w:r w:rsidR="001F3A66" w:rsidRPr="006A79C5">
        <w:rPr>
          <w:rFonts w:ascii="Calibri" w:hAnsi="Calibri" w:cs="Arial"/>
          <w:color w:val="000000" w:themeColor="text1"/>
        </w:rPr>
        <w:t>.</w:t>
      </w:r>
    </w:p>
    <w:p w14:paraId="149977B4" w14:textId="77777777" w:rsidR="00A61A19" w:rsidRPr="006A79C5" w:rsidRDefault="00A61A19" w:rsidP="00A61A19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</w:p>
    <w:p w14:paraId="422AAD59" w14:textId="3B5C81F4" w:rsidR="00AF54F0" w:rsidRPr="006A79C5" w:rsidRDefault="00AF54F0" w:rsidP="00AF54F0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Next, we can </w:t>
      </w:r>
      <w:r w:rsidR="005552C3" w:rsidRPr="006A79C5">
        <w:rPr>
          <w:rFonts w:ascii="Calibri" w:hAnsi="Calibri" w:cs="Arial"/>
          <w:color w:val="000000" w:themeColor="text1"/>
        </w:rPr>
        <w:t>estimate q1 and q2 via maximum likelihood estimation.</w:t>
      </w:r>
    </w:p>
    <w:p w14:paraId="7A491994" w14:textId="77777777" w:rsidR="00AF54F0" w:rsidRPr="006A79C5" w:rsidRDefault="00AF54F0" w:rsidP="00AF54F0">
      <w:pPr>
        <w:widowControl w:val="0"/>
        <w:autoSpaceDE w:val="0"/>
        <w:autoSpaceDN w:val="0"/>
        <w:adjustRightInd w:val="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 xml:space="preserve"> </w:t>
      </w:r>
    </w:p>
    <w:p w14:paraId="21BC298F" w14:textId="2ECFADC4" w:rsidR="00EE5665" w:rsidRPr="006A79C5" w:rsidRDefault="005552C3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  <w:u w:val="single"/>
        </w:rPr>
        <w:t>Refresher: p</w:t>
      </w:r>
      <w:r w:rsidR="00EE5665" w:rsidRPr="006A79C5">
        <w:rPr>
          <w:rFonts w:ascii="Calibri" w:hAnsi="Calibri" w:cs="Arial"/>
          <w:color w:val="000000" w:themeColor="text1"/>
          <w:u w:val="single"/>
        </w:rPr>
        <w:t>robability vs likelihood</w:t>
      </w:r>
    </w:p>
    <w:p w14:paraId="4A931D47" w14:textId="65E34F3C" w:rsidR="00EE5665" w:rsidRPr="006A79C5" w:rsidRDefault="00EE5665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Up to this point, we’ve more or less been operating under the assumption that we </w:t>
      </w:r>
      <w:r w:rsidRPr="006A79C5">
        <w:rPr>
          <w:rFonts w:ascii="Calibri" w:hAnsi="Calibri" w:cs="Arial"/>
          <w:b/>
          <w:color w:val="000000" w:themeColor="text1"/>
        </w:rPr>
        <w:t>know</w:t>
      </w:r>
      <w:r w:rsidRPr="006A79C5">
        <w:rPr>
          <w:rFonts w:ascii="Calibri" w:hAnsi="Calibri" w:cs="Arial"/>
          <w:color w:val="000000" w:themeColor="text1"/>
        </w:rPr>
        <w:t xml:space="preserve"> </w:t>
      </w:r>
      <w:r w:rsidRPr="006A79C5">
        <w:rPr>
          <w:rFonts w:ascii="Calibri" w:hAnsi="Calibri" w:cs="Arial"/>
          <w:i/>
          <w:color w:val="000000" w:themeColor="text1"/>
        </w:rPr>
        <w:t>p</w:t>
      </w:r>
      <w:r w:rsidR="00534E03" w:rsidRPr="006A79C5">
        <w:rPr>
          <w:rFonts w:ascii="Calibri" w:hAnsi="Calibri" w:cs="Arial"/>
          <w:i/>
          <w:color w:val="000000" w:themeColor="text1"/>
        </w:rPr>
        <w:t xml:space="preserve">, </w:t>
      </w:r>
      <w:r w:rsidRPr="006A79C5">
        <w:rPr>
          <w:rFonts w:ascii="Calibri" w:hAnsi="Calibri" w:cs="Arial"/>
          <w:i/>
          <w:color w:val="000000" w:themeColor="text1"/>
        </w:rPr>
        <w:t>q</w:t>
      </w:r>
      <w:r w:rsidR="00534E03" w:rsidRPr="006A79C5">
        <w:rPr>
          <w:rFonts w:ascii="Calibri" w:hAnsi="Calibri" w:cs="Arial"/>
          <w:i/>
          <w:color w:val="000000" w:themeColor="text1"/>
        </w:rPr>
        <w:t>,</w:t>
      </w:r>
      <w:r w:rsidR="00871EBB" w:rsidRPr="006A79C5">
        <w:rPr>
          <w:rFonts w:ascii="Calibri" w:hAnsi="Calibri" w:cs="Arial"/>
          <w:color w:val="000000" w:themeColor="text1"/>
        </w:rPr>
        <w:t xml:space="preserve"> </w:t>
      </w:r>
      <w:r w:rsidRPr="006A79C5">
        <w:rPr>
          <w:rFonts w:ascii="Calibri" w:hAnsi="Calibri" w:cs="Arial"/>
          <w:color w:val="000000" w:themeColor="text1"/>
        </w:rPr>
        <w:t xml:space="preserve">and </w:t>
      </w:r>
      <w:r w:rsidRPr="006A79C5">
        <w:rPr>
          <w:rFonts w:ascii="Calibri" w:hAnsi="Calibri" w:cs="Arial"/>
          <w:i/>
          <w:color w:val="000000" w:themeColor="text1"/>
        </w:rPr>
        <w:t>m</w:t>
      </w:r>
      <w:r w:rsidR="00871EBB" w:rsidRPr="006A79C5">
        <w:rPr>
          <w:rFonts w:ascii="Calibri" w:hAnsi="Calibri" w:cs="Arial"/>
          <w:color w:val="000000" w:themeColor="text1"/>
        </w:rPr>
        <w:t xml:space="preserve"> (these</w:t>
      </w:r>
      <w:r w:rsidRPr="006A79C5">
        <w:rPr>
          <w:rFonts w:ascii="Calibri" w:hAnsi="Calibri" w:cs="Arial"/>
          <w:color w:val="000000" w:themeColor="text1"/>
        </w:rPr>
        <w:t xml:space="preserve"> make up our model parameters, which we’ll call </w:t>
      </w:r>
      <w:r w:rsidRPr="006A79C5">
        <w:rPr>
          <w:rFonts w:ascii="Calibri" w:hAnsi="Calibri" w:cs="Arial"/>
          <w:b/>
          <w:i/>
          <w:color w:val="000000" w:themeColor="text1"/>
        </w:rPr>
        <w:sym w:font="Symbol" w:char="F071"/>
      </w:r>
      <w:r w:rsidRPr="006A79C5">
        <w:rPr>
          <w:rFonts w:ascii="Calibri" w:hAnsi="Calibri" w:cs="Arial"/>
          <w:color w:val="000000" w:themeColor="text1"/>
        </w:rPr>
        <w:t xml:space="preserve">) and we want to </w:t>
      </w:r>
      <w:r w:rsidRPr="006A79C5">
        <w:rPr>
          <w:rFonts w:ascii="Calibri" w:hAnsi="Calibri" w:cs="Arial"/>
          <w:b/>
          <w:color w:val="000000" w:themeColor="text1"/>
        </w:rPr>
        <w:t>estimate</w:t>
      </w:r>
      <w:r w:rsidRPr="006A79C5">
        <w:rPr>
          <w:rFonts w:ascii="Calibri" w:hAnsi="Calibri" w:cs="Arial"/>
          <w:color w:val="000000" w:themeColor="text1"/>
        </w:rPr>
        <w:t xml:space="preserve"> the probability of our observed data, which we’ll call </w:t>
      </w:r>
      <w:r w:rsidRPr="006A79C5">
        <w:rPr>
          <w:rFonts w:ascii="Calibri" w:hAnsi="Calibri" w:cs="Arial"/>
          <w:b/>
          <w:i/>
          <w:color w:val="000000" w:themeColor="text1"/>
        </w:rPr>
        <w:t>X</w:t>
      </w:r>
      <w:r w:rsidRPr="006A79C5">
        <w:rPr>
          <w:rFonts w:ascii="Calibri" w:hAnsi="Calibri" w:cs="Arial"/>
          <w:color w:val="000000" w:themeColor="text1"/>
        </w:rPr>
        <w:t>.</w:t>
      </w:r>
      <w:r w:rsidR="00871EBB" w:rsidRPr="006A79C5">
        <w:rPr>
          <w:rFonts w:ascii="Calibri" w:hAnsi="Calibri" w:cs="Arial"/>
          <w:color w:val="000000" w:themeColor="text1"/>
        </w:rPr>
        <w:t xml:space="preserve">  We can denote this Pr(</w:t>
      </w:r>
      <w:r w:rsidR="00871EBB" w:rsidRPr="006A79C5">
        <w:rPr>
          <w:rFonts w:ascii="Calibri" w:hAnsi="Calibri" w:cs="Arial"/>
          <w:b/>
          <w:i/>
          <w:color w:val="000000" w:themeColor="text1"/>
        </w:rPr>
        <w:t>X</w:t>
      </w:r>
      <w:r w:rsidR="00871EBB" w:rsidRPr="006A79C5">
        <w:rPr>
          <w:rFonts w:ascii="Calibri" w:hAnsi="Calibri" w:cs="Arial"/>
          <w:color w:val="000000" w:themeColor="text1"/>
        </w:rPr>
        <w:t>|</w:t>
      </w:r>
      <w:r w:rsidR="00871EBB" w:rsidRPr="006A79C5">
        <w:rPr>
          <w:rFonts w:ascii="Calibri" w:hAnsi="Calibri" w:cs="Arial"/>
          <w:b/>
          <w:i/>
          <w:color w:val="000000" w:themeColor="text1"/>
        </w:rPr>
        <w:sym w:font="Symbol" w:char="F071"/>
      </w:r>
      <w:r w:rsidR="00871EBB" w:rsidRPr="006A79C5">
        <w:rPr>
          <w:rFonts w:ascii="Calibri" w:hAnsi="Calibri" w:cs="Arial"/>
          <w:color w:val="000000" w:themeColor="text1"/>
        </w:rPr>
        <w:t xml:space="preserve">), i.e. the </w:t>
      </w:r>
      <w:r w:rsidR="00871EBB" w:rsidRPr="006A79C5">
        <w:rPr>
          <w:rFonts w:ascii="Calibri" w:hAnsi="Calibri" w:cs="Arial"/>
          <w:b/>
          <w:color w:val="000000" w:themeColor="text1"/>
        </w:rPr>
        <w:t>probability</w:t>
      </w:r>
      <w:r w:rsidR="00871EBB" w:rsidRPr="006A79C5">
        <w:rPr>
          <w:rFonts w:ascii="Calibri" w:hAnsi="Calibri" w:cs="Arial"/>
          <w:color w:val="000000" w:themeColor="text1"/>
        </w:rPr>
        <w:t xml:space="preserve"> of our data given the parameters.  But if instead we </w:t>
      </w:r>
      <w:r w:rsidR="00871EBB" w:rsidRPr="006A79C5">
        <w:rPr>
          <w:rFonts w:ascii="Calibri" w:hAnsi="Calibri" w:cs="Arial"/>
          <w:b/>
          <w:color w:val="000000" w:themeColor="text1"/>
        </w:rPr>
        <w:t>know</w:t>
      </w:r>
      <w:r w:rsidR="00871EBB" w:rsidRPr="006A79C5">
        <w:rPr>
          <w:rFonts w:ascii="Calibri" w:hAnsi="Calibri" w:cs="Arial"/>
          <w:color w:val="000000" w:themeColor="text1"/>
        </w:rPr>
        <w:t xml:space="preserve"> that we</w:t>
      </w:r>
      <w:r w:rsidR="00AF54F0" w:rsidRPr="006A79C5">
        <w:rPr>
          <w:rFonts w:ascii="Calibri" w:hAnsi="Calibri" w:cs="Arial"/>
          <w:color w:val="000000" w:themeColor="text1"/>
        </w:rPr>
        <w:t xml:space="preserve"> have</w:t>
      </w:r>
      <w:r w:rsidR="00871EBB" w:rsidRPr="006A79C5">
        <w:rPr>
          <w:rFonts w:ascii="Calibri" w:hAnsi="Calibri" w:cs="Arial"/>
          <w:color w:val="000000" w:themeColor="text1"/>
        </w:rPr>
        <w:t xml:space="preserve"> observed some data </w:t>
      </w:r>
      <w:r w:rsidR="00871EBB" w:rsidRPr="006A79C5">
        <w:rPr>
          <w:rFonts w:ascii="Calibri" w:hAnsi="Calibri" w:cs="Arial"/>
          <w:b/>
          <w:i/>
          <w:color w:val="000000" w:themeColor="text1"/>
        </w:rPr>
        <w:t>X</w:t>
      </w:r>
      <w:r w:rsidR="00871EBB" w:rsidRPr="006A79C5">
        <w:rPr>
          <w:rFonts w:ascii="Calibri" w:hAnsi="Calibri" w:cs="Arial"/>
          <w:color w:val="000000" w:themeColor="text1"/>
        </w:rPr>
        <w:t xml:space="preserve"> and we want to </w:t>
      </w:r>
      <w:r w:rsidR="00871EBB" w:rsidRPr="006A79C5">
        <w:rPr>
          <w:rFonts w:ascii="Calibri" w:hAnsi="Calibri" w:cs="Arial"/>
          <w:b/>
          <w:color w:val="000000" w:themeColor="text1"/>
        </w:rPr>
        <w:t>estimate</w:t>
      </w:r>
      <w:r w:rsidR="00871EBB" w:rsidRPr="006A79C5">
        <w:rPr>
          <w:rFonts w:ascii="Calibri" w:hAnsi="Calibri" w:cs="Arial"/>
          <w:color w:val="000000" w:themeColor="text1"/>
        </w:rPr>
        <w:t xml:space="preserve"> the model parameters </w:t>
      </w:r>
      <w:r w:rsidR="00871EBB" w:rsidRPr="006A79C5">
        <w:rPr>
          <w:rFonts w:ascii="Calibri" w:hAnsi="Calibri" w:cs="Arial"/>
          <w:b/>
          <w:i/>
          <w:color w:val="000000" w:themeColor="text1"/>
        </w:rPr>
        <w:sym w:font="Symbol" w:char="F071"/>
      </w:r>
      <w:r w:rsidR="00871EBB" w:rsidRPr="006A79C5">
        <w:rPr>
          <w:rFonts w:ascii="Calibri" w:hAnsi="Calibri" w:cs="Arial"/>
          <w:color w:val="000000" w:themeColor="text1"/>
        </w:rPr>
        <w:t xml:space="preserve"> that gave rise to this data, in this case we refer to the </w:t>
      </w:r>
      <w:r w:rsidR="00871EBB" w:rsidRPr="006A79C5">
        <w:rPr>
          <w:rFonts w:ascii="Calibri" w:hAnsi="Calibri" w:cs="Arial"/>
          <w:b/>
          <w:color w:val="000000" w:themeColor="text1"/>
        </w:rPr>
        <w:t>likelihood</w:t>
      </w:r>
      <w:r w:rsidR="00871EBB" w:rsidRPr="006A79C5">
        <w:rPr>
          <w:rFonts w:ascii="Calibri" w:hAnsi="Calibri" w:cs="Arial"/>
          <w:color w:val="000000" w:themeColor="text1"/>
        </w:rPr>
        <w:t xml:space="preserve"> of the parameters given the observed data: </w:t>
      </w:r>
      <w:r w:rsidR="00871EBB" w:rsidRPr="006A79C5">
        <w:rPr>
          <w:rFonts w:ascii="Calibri" w:hAnsi="Calibri" w:cs="Arial"/>
          <w:i/>
          <w:color w:val="000000" w:themeColor="text1"/>
        </w:rPr>
        <w:t>L</w:t>
      </w:r>
      <w:r w:rsidR="00871EBB" w:rsidRPr="006A79C5">
        <w:rPr>
          <w:rFonts w:ascii="Calibri" w:hAnsi="Calibri" w:cs="Arial"/>
          <w:color w:val="000000" w:themeColor="text1"/>
        </w:rPr>
        <w:t>(</w:t>
      </w:r>
      <w:r w:rsidR="00871EBB" w:rsidRPr="006A79C5">
        <w:rPr>
          <w:rFonts w:ascii="Calibri" w:hAnsi="Calibri" w:cs="Arial"/>
          <w:b/>
          <w:i/>
          <w:color w:val="000000" w:themeColor="text1"/>
        </w:rPr>
        <w:sym w:font="Symbol" w:char="F071"/>
      </w:r>
      <w:r w:rsidR="00871EBB" w:rsidRPr="006A79C5">
        <w:rPr>
          <w:rFonts w:ascii="Calibri" w:hAnsi="Calibri" w:cs="Arial"/>
          <w:color w:val="000000" w:themeColor="text1"/>
        </w:rPr>
        <w:t>|</w:t>
      </w:r>
      <w:r w:rsidR="00871EBB" w:rsidRPr="006A79C5">
        <w:rPr>
          <w:rFonts w:ascii="Calibri" w:hAnsi="Calibri" w:cs="Arial"/>
          <w:b/>
          <w:i/>
          <w:color w:val="000000" w:themeColor="text1"/>
        </w:rPr>
        <w:t>X</w:t>
      </w:r>
      <w:r w:rsidR="00871EBB" w:rsidRPr="006A79C5">
        <w:rPr>
          <w:rFonts w:ascii="Calibri" w:hAnsi="Calibri" w:cs="Arial"/>
          <w:color w:val="000000" w:themeColor="text1"/>
        </w:rPr>
        <w:t xml:space="preserve">). To find the set of parameters that are </w:t>
      </w:r>
      <w:r w:rsidR="00871EBB" w:rsidRPr="006A79C5">
        <w:rPr>
          <w:rFonts w:ascii="Calibri" w:hAnsi="Calibri" w:cs="Arial"/>
          <w:i/>
          <w:color w:val="000000" w:themeColor="text1"/>
        </w:rPr>
        <w:t>most</w:t>
      </w:r>
      <w:r w:rsidR="00871EBB" w:rsidRPr="006A79C5">
        <w:rPr>
          <w:rFonts w:ascii="Calibri" w:hAnsi="Calibri" w:cs="Arial"/>
          <w:color w:val="000000" w:themeColor="text1"/>
        </w:rPr>
        <w:t xml:space="preserve"> consistent with the data that we observed, we want to maximize the likelihood of the parameters given the data.</w:t>
      </w:r>
    </w:p>
    <w:p w14:paraId="4E46ABA4" w14:textId="77777777" w:rsidR="00534E03" w:rsidRPr="006A79C5" w:rsidRDefault="00534E03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</w:p>
    <w:p w14:paraId="0833A273" w14:textId="60718261" w:rsidR="00534E03" w:rsidRPr="006A79C5" w:rsidRDefault="00534E03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For example, if we flip a coin 10 times, and it comes up heads </w:t>
      </w:r>
      <w:r w:rsidR="0068718C" w:rsidRPr="006A79C5">
        <w:rPr>
          <w:rFonts w:ascii="Calibri" w:hAnsi="Calibri" w:cs="Arial"/>
          <w:color w:val="000000" w:themeColor="text1"/>
        </w:rPr>
        <w:t>8 out of 10</w:t>
      </w:r>
      <w:r w:rsidRPr="006A79C5">
        <w:rPr>
          <w:rFonts w:ascii="Calibri" w:hAnsi="Calibri" w:cs="Arial"/>
          <w:color w:val="000000" w:themeColor="text1"/>
        </w:rPr>
        <w:t xml:space="preserve"> times, we can ask what is the </w:t>
      </w:r>
      <w:r w:rsidRPr="006A79C5">
        <w:rPr>
          <w:rFonts w:ascii="Calibri" w:hAnsi="Calibri" w:cs="Arial"/>
          <w:b/>
          <w:color w:val="000000" w:themeColor="text1"/>
        </w:rPr>
        <w:t>probability</w:t>
      </w:r>
      <w:r w:rsidRPr="006A79C5">
        <w:rPr>
          <w:rFonts w:ascii="Calibri" w:hAnsi="Calibri" w:cs="Arial"/>
          <w:color w:val="000000" w:themeColor="text1"/>
        </w:rPr>
        <w:t xml:space="preserve"> of that outcome given </w:t>
      </w:r>
      <w:r w:rsidRPr="006A79C5">
        <w:rPr>
          <w:rFonts w:ascii="Calibri" w:hAnsi="Calibri" w:cs="Arial"/>
          <w:i/>
          <w:color w:val="000000" w:themeColor="text1"/>
        </w:rPr>
        <w:t>p</w:t>
      </w:r>
      <w:r w:rsidRPr="006A79C5">
        <w:rPr>
          <w:rFonts w:ascii="Calibri" w:hAnsi="Calibri" w:cs="Arial"/>
          <w:color w:val="000000" w:themeColor="text1"/>
        </w:rPr>
        <w:t xml:space="preserve">=0.5.  Or we can ask what is the </w:t>
      </w:r>
      <w:r w:rsidRPr="006A79C5">
        <w:rPr>
          <w:rFonts w:ascii="Calibri" w:hAnsi="Calibri" w:cs="Arial"/>
          <w:b/>
          <w:color w:val="000000" w:themeColor="text1"/>
        </w:rPr>
        <w:t>likelihood</w:t>
      </w:r>
      <w:r w:rsidRPr="006A79C5">
        <w:rPr>
          <w:rFonts w:ascii="Calibri" w:hAnsi="Calibri" w:cs="Arial"/>
          <w:color w:val="000000" w:themeColor="text1"/>
        </w:rPr>
        <w:t xml:space="preserve"> that it is a fair coin (i.e. </w:t>
      </w:r>
      <w:r w:rsidRPr="006A79C5">
        <w:rPr>
          <w:rFonts w:ascii="Calibri" w:hAnsi="Calibri" w:cs="Arial"/>
          <w:i/>
          <w:color w:val="000000" w:themeColor="text1"/>
        </w:rPr>
        <w:t>p</w:t>
      </w:r>
      <w:r w:rsidRPr="006A79C5">
        <w:rPr>
          <w:rFonts w:ascii="Calibri" w:hAnsi="Calibri" w:cs="Arial"/>
          <w:color w:val="000000" w:themeColor="text1"/>
        </w:rPr>
        <w:t>=0.5) given the outcome we observed.  The answer is the same, but the question is different.</w:t>
      </w:r>
    </w:p>
    <w:p w14:paraId="08D71C37" w14:textId="77777777" w:rsidR="00EE5665" w:rsidRPr="006A79C5" w:rsidRDefault="00EE5665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</w:p>
    <w:p w14:paraId="6BA16C5F" w14:textId="07E39E71" w:rsidR="002E78CC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>dbinom(8,10,0.5)</w:t>
      </w:r>
    </w:p>
    <w:p w14:paraId="3E52C1DA" w14:textId="77777777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</w:p>
    <w:p w14:paraId="42420B26" w14:textId="2B7E23B6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Times New Roman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>plot(dbinom(8,10,seq(0.01,0.99,by=0.01)))</w:t>
      </w:r>
    </w:p>
    <w:p w14:paraId="2D74FECA" w14:textId="77777777" w:rsidR="002E78CC" w:rsidRPr="006A79C5" w:rsidRDefault="002E78CC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</w:p>
    <w:p w14:paraId="76869B3B" w14:textId="77777777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>example = function(p){-dbinom(8,10,p)}</w:t>
      </w:r>
    </w:p>
    <w:p w14:paraId="71A7FDD3" w14:textId="1CB9EE96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>optim(0.5,example)$par</w:t>
      </w:r>
    </w:p>
    <w:p w14:paraId="54C17532" w14:textId="77777777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</w:p>
    <w:p w14:paraId="24FE1A80" w14:textId="77777777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>logexample = function(p){-log(dbinom(8,10,p))}</w:t>
      </w:r>
    </w:p>
    <w:p w14:paraId="580A305F" w14:textId="2402A7CB" w:rsidR="002E78CC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Courier"/>
          <w:color w:val="000000" w:themeColor="text1"/>
        </w:rPr>
      </w:pPr>
      <w:r w:rsidRPr="006A79C5">
        <w:rPr>
          <w:rFonts w:ascii="Calibri" w:hAnsi="Calibri" w:cs="Courier"/>
          <w:color w:val="000000" w:themeColor="text1"/>
        </w:rPr>
        <w:t>optim(0.5,logexample)$par</w:t>
      </w:r>
    </w:p>
    <w:p w14:paraId="3DF81770" w14:textId="77777777" w:rsidR="00A61A19" w:rsidRPr="006A79C5" w:rsidRDefault="00A61A19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</w:p>
    <w:p w14:paraId="66F23F3C" w14:textId="2A48D358" w:rsidR="005552C3" w:rsidRPr="006A79C5" w:rsidRDefault="001C7B63" w:rsidP="00A43F90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color w:val="000000" w:themeColor="text1"/>
        </w:rPr>
      </w:pPr>
      <w:r w:rsidRPr="006A79C5">
        <w:rPr>
          <w:rFonts w:ascii="Calibri" w:hAnsi="Calibri" w:cs="Arial"/>
          <w:color w:val="000000" w:themeColor="text1"/>
        </w:rPr>
        <w:t xml:space="preserve">Since there is no set way to </w:t>
      </w:r>
      <w:r w:rsidR="005552C3" w:rsidRPr="006A79C5">
        <w:rPr>
          <w:rFonts w:ascii="Calibri" w:hAnsi="Calibri" w:cs="Arial"/>
          <w:color w:val="000000" w:themeColor="text1"/>
        </w:rPr>
        <w:t xml:space="preserve">calculate the likelihood for the chain binomial model in </w:t>
      </w:r>
      <w:r w:rsidR="00A61A19" w:rsidRPr="006A79C5">
        <w:rPr>
          <w:rFonts w:ascii="Calibri" w:hAnsi="Calibri" w:cs="Arial"/>
          <w:color w:val="000000" w:themeColor="text1"/>
        </w:rPr>
        <w:t>R</w:t>
      </w:r>
      <w:r w:rsidR="005552C3" w:rsidRPr="006A79C5">
        <w:rPr>
          <w:rFonts w:ascii="Calibri" w:hAnsi="Calibri" w:cs="Arial"/>
          <w:color w:val="000000" w:themeColor="text1"/>
        </w:rPr>
        <w:t xml:space="preserve">, we can </w:t>
      </w:r>
      <w:r w:rsidRPr="006A79C5">
        <w:rPr>
          <w:rFonts w:ascii="Calibri" w:hAnsi="Calibri" w:cs="Arial"/>
          <w:color w:val="000000" w:themeColor="text1"/>
        </w:rPr>
        <w:t>create a "function" file called 'chainbinolikl3' that calculates the negative log-likelihood</w:t>
      </w:r>
      <w:r w:rsidR="005552C3" w:rsidRPr="006A79C5">
        <w:rPr>
          <w:rFonts w:ascii="Calibri" w:hAnsi="Calibri" w:cs="Arial"/>
          <w:color w:val="000000" w:themeColor="text1"/>
        </w:rPr>
        <w:t xml:space="preserve"> for our model parameter(s) (</w:t>
      </w:r>
      <w:r w:rsidR="005552C3" w:rsidRPr="006A79C5">
        <w:rPr>
          <w:rFonts w:ascii="Calibri" w:hAnsi="Calibri" w:cs="Arial"/>
          <w:b/>
          <w:i/>
          <w:color w:val="000000" w:themeColor="text1"/>
        </w:rPr>
        <w:t>q</w:t>
      </w:r>
      <w:r w:rsidR="005552C3" w:rsidRPr="006A79C5">
        <w:rPr>
          <w:rFonts w:ascii="Calibri" w:hAnsi="Calibri" w:cs="Arial"/>
          <w:color w:val="000000" w:themeColor="text1"/>
        </w:rPr>
        <w:t>) and our observed data (</w:t>
      </w:r>
      <w:r w:rsidR="00A61A19" w:rsidRPr="006A79C5">
        <w:rPr>
          <w:rFonts w:ascii="Calibri" w:hAnsi="Calibri" w:cs="Arial"/>
          <w:b/>
          <w:i/>
          <w:color w:val="000000" w:themeColor="text1"/>
        </w:rPr>
        <w:t>infect_freq[</w:t>
      </w:r>
      <w:r w:rsidR="005552C3" w:rsidRPr="006A79C5">
        <w:rPr>
          <w:rFonts w:ascii="Calibri" w:hAnsi="Calibri" w:cs="Arial"/>
          <w:b/>
          <w:i/>
          <w:color w:val="000000" w:themeColor="text1"/>
        </w:rPr>
        <w:t>,3</w:t>
      </w:r>
      <w:r w:rsidR="00A61A19" w:rsidRPr="006A79C5">
        <w:rPr>
          <w:rFonts w:ascii="Calibri" w:hAnsi="Calibri" w:cs="Arial"/>
          <w:b/>
          <w:i/>
          <w:color w:val="000000" w:themeColor="text1"/>
        </w:rPr>
        <w:t>]</w:t>
      </w:r>
      <w:r w:rsidR="005552C3" w:rsidRPr="006A79C5">
        <w:rPr>
          <w:rFonts w:ascii="Calibri" w:hAnsi="Calibri" w:cs="Arial"/>
          <w:color w:val="000000" w:themeColor="text1"/>
        </w:rPr>
        <w:t xml:space="preserve">).  </w:t>
      </w:r>
    </w:p>
    <w:p w14:paraId="282E6BC1" w14:textId="77777777" w:rsidR="006A2F78" w:rsidRPr="006A79C5" w:rsidRDefault="006A2F78" w:rsidP="001C7B63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17E8A27C" w14:textId="2A662342" w:rsidR="006A2F78" w:rsidRPr="006A79C5" w:rsidRDefault="006A79C5" w:rsidP="001C7B63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11. </w:t>
      </w:r>
      <w:r w:rsidR="006A2F78" w:rsidRPr="006A79C5">
        <w:rPr>
          <w:rFonts w:ascii="Calibri" w:hAnsi="Calibri" w:cs="Arial"/>
          <w:color w:val="000000" w:themeColor="text1"/>
        </w:rPr>
        <w:t>Calculate the value of the negative log-likelihood at our initial “guesses” for q1 and q2.</w:t>
      </w:r>
    </w:p>
    <w:p w14:paraId="6257FB79" w14:textId="77777777" w:rsidR="005552C3" w:rsidRPr="006A79C5" w:rsidRDefault="005552C3" w:rsidP="001C7B63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09107AD7" w14:textId="77777777" w:rsidR="00A61A19" w:rsidRPr="006A79C5" w:rsidRDefault="00A61A19" w:rsidP="006A2F7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3279D336" w14:textId="2B635772" w:rsidR="006A2F78" w:rsidRPr="006A79C5" w:rsidRDefault="006A79C5" w:rsidP="006A2F7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12. </w:t>
      </w:r>
      <w:r w:rsidR="006A2F78" w:rsidRPr="006A79C5">
        <w:rPr>
          <w:rFonts w:ascii="Calibri" w:hAnsi="Calibri" w:cs="Arial"/>
          <w:color w:val="000000" w:themeColor="text1"/>
        </w:rPr>
        <w:t>Compare this to the negative log-likelihood for the “naïve” guess of q1=q2=0.5.</w:t>
      </w:r>
    </w:p>
    <w:p w14:paraId="06A89FE1" w14:textId="77777777" w:rsidR="006A2F78" w:rsidRPr="006A79C5" w:rsidRDefault="006A2F78" w:rsidP="006A2F7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02A97C67" w14:textId="77777777" w:rsidR="005552C3" w:rsidRPr="006A79C5" w:rsidRDefault="005552C3" w:rsidP="001C7B63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6C691D97" w14:textId="1D1E7A4C" w:rsidR="001C7B63" w:rsidRPr="006A79C5" w:rsidRDefault="006A79C5" w:rsidP="001C7B63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13. </w:t>
      </w:r>
      <w:r w:rsidR="006A2F78" w:rsidRPr="006A79C5">
        <w:rPr>
          <w:rFonts w:ascii="Calibri" w:hAnsi="Calibri" w:cs="Arial"/>
          <w:color w:val="000000" w:themeColor="text1"/>
        </w:rPr>
        <w:t>Now</w:t>
      </w:r>
      <w:r w:rsidR="005552C3" w:rsidRPr="006A79C5">
        <w:rPr>
          <w:rFonts w:ascii="Calibri" w:hAnsi="Calibri" w:cs="Arial"/>
          <w:color w:val="000000" w:themeColor="text1"/>
        </w:rPr>
        <w:t xml:space="preserve"> use </w:t>
      </w:r>
      <w:r w:rsidR="00A61A19" w:rsidRPr="006A79C5">
        <w:rPr>
          <w:rFonts w:ascii="Calibri" w:hAnsi="Calibri" w:cs="Arial"/>
          <w:color w:val="000000" w:themeColor="text1"/>
        </w:rPr>
        <w:t>optim()</w:t>
      </w:r>
      <w:r w:rsidR="001C7B63" w:rsidRPr="006A79C5">
        <w:rPr>
          <w:rFonts w:ascii="Calibri" w:hAnsi="Calibri" w:cs="Arial"/>
          <w:color w:val="000000" w:themeColor="text1"/>
        </w:rPr>
        <w:t xml:space="preserve"> </w:t>
      </w:r>
      <w:r w:rsidR="005552C3" w:rsidRPr="006A79C5">
        <w:rPr>
          <w:rFonts w:ascii="Calibri" w:hAnsi="Calibri" w:cs="Arial"/>
          <w:color w:val="000000" w:themeColor="text1"/>
        </w:rPr>
        <w:t xml:space="preserve">to </w:t>
      </w:r>
      <w:r w:rsidR="001C7B63" w:rsidRPr="006A79C5">
        <w:rPr>
          <w:rFonts w:ascii="Calibri" w:hAnsi="Calibri" w:cs="Arial"/>
          <w:color w:val="000000" w:themeColor="text1"/>
        </w:rPr>
        <w:t>minimize</w:t>
      </w:r>
      <w:r w:rsidR="005552C3" w:rsidRPr="006A79C5">
        <w:rPr>
          <w:rFonts w:ascii="Calibri" w:hAnsi="Calibri" w:cs="Arial"/>
          <w:color w:val="000000" w:themeColor="text1"/>
        </w:rPr>
        <w:t xml:space="preserve"> the value of the function</w:t>
      </w:r>
      <w:r w:rsidR="006A2F78" w:rsidRPr="006A79C5">
        <w:rPr>
          <w:rFonts w:ascii="Calibri" w:hAnsi="Calibri" w:cs="Arial"/>
          <w:color w:val="000000" w:themeColor="text1"/>
        </w:rPr>
        <w:t xml:space="preserve"> in order to estimate q1 and q2</w:t>
      </w:r>
      <w:r w:rsidR="001C7B63" w:rsidRPr="006A79C5">
        <w:rPr>
          <w:rFonts w:ascii="Calibri" w:hAnsi="Calibri" w:cs="Arial"/>
          <w:color w:val="000000" w:themeColor="text1"/>
        </w:rPr>
        <w:t>:</w:t>
      </w:r>
    </w:p>
    <w:p w14:paraId="3452ED5F" w14:textId="77777777" w:rsidR="001C7B63" w:rsidRPr="006A79C5" w:rsidRDefault="001C7B63" w:rsidP="00785F22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34B1E15F" w14:textId="77777777" w:rsidR="00A61A19" w:rsidRPr="006A79C5" w:rsidRDefault="00A61A19" w:rsidP="006A2F78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</w:p>
    <w:p w14:paraId="5AE82AFE" w14:textId="5A452AD3" w:rsidR="006A79C5" w:rsidRPr="00A43F90" w:rsidRDefault="006A79C5" w:rsidP="00A43F90">
      <w:pPr>
        <w:widowControl w:val="0"/>
        <w:autoSpaceDE w:val="0"/>
        <w:autoSpaceDN w:val="0"/>
        <w:adjustRightInd w:val="0"/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14. </w:t>
      </w:r>
      <w:r w:rsidR="006A2F78" w:rsidRPr="006A79C5">
        <w:rPr>
          <w:rFonts w:ascii="Calibri" w:hAnsi="Calibri" w:cs="Arial"/>
          <w:color w:val="000000" w:themeColor="text1"/>
        </w:rPr>
        <w:t>What is the value of the negative log-likelihood at our best-fit estimate?</w:t>
      </w:r>
    </w:p>
    <w:sectPr w:rsidR="006A79C5" w:rsidRPr="00A43F90" w:rsidSect="00785F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F22"/>
    <w:rsid w:val="00003267"/>
    <w:rsid w:val="000111EF"/>
    <w:rsid w:val="00060F25"/>
    <w:rsid w:val="000C5DDC"/>
    <w:rsid w:val="00160E8E"/>
    <w:rsid w:val="0016460B"/>
    <w:rsid w:val="00181299"/>
    <w:rsid w:val="001C7B63"/>
    <w:rsid w:val="001F3A66"/>
    <w:rsid w:val="00272366"/>
    <w:rsid w:val="002E78CC"/>
    <w:rsid w:val="00332575"/>
    <w:rsid w:val="00363355"/>
    <w:rsid w:val="003B443D"/>
    <w:rsid w:val="003C2B6B"/>
    <w:rsid w:val="003E0756"/>
    <w:rsid w:val="00404629"/>
    <w:rsid w:val="004502E3"/>
    <w:rsid w:val="004759F1"/>
    <w:rsid w:val="00534E03"/>
    <w:rsid w:val="005552C3"/>
    <w:rsid w:val="006361DD"/>
    <w:rsid w:val="006649FA"/>
    <w:rsid w:val="0068718C"/>
    <w:rsid w:val="006876CA"/>
    <w:rsid w:val="006A2F78"/>
    <w:rsid w:val="006A79C5"/>
    <w:rsid w:val="006E1689"/>
    <w:rsid w:val="00712C38"/>
    <w:rsid w:val="00740142"/>
    <w:rsid w:val="007420E8"/>
    <w:rsid w:val="00785F22"/>
    <w:rsid w:val="007B29C6"/>
    <w:rsid w:val="00871EBB"/>
    <w:rsid w:val="0089687E"/>
    <w:rsid w:val="008A2814"/>
    <w:rsid w:val="009010B7"/>
    <w:rsid w:val="00925542"/>
    <w:rsid w:val="009259E0"/>
    <w:rsid w:val="00A42409"/>
    <w:rsid w:val="00A43F90"/>
    <w:rsid w:val="00A61A19"/>
    <w:rsid w:val="00A93069"/>
    <w:rsid w:val="00AE24DB"/>
    <w:rsid w:val="00AF54F0"/>
    <w:rsid w:val="00B06639"/>
    <w:rsid w:val="00B13FA6"/>
    <w:rsid w:val="00B15ACE"/>
    <w:rsid w:val="00BF6079"/>
    <w:rsid w:val="00C13E76"/>
    <w:rsid w:val="00C26745"/>
    <w:rsid w:val="00C9374F"/>
    <w:rsid w:val="00C96250"/>
    <w:rsid w:val="00CB6851"/>
    <w:rsid w:val="00D33B76"/>
    <w:rsid w:val="00D67583"/>
    <w:rsid w:val="00DA7800"/>
    <w:rsid w:val="00EE5665"/>
    <w:rsid w:val="00F0114A"/>
    <w:rsid w:val="00FC198D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32615"/>
  <w14:defaultImageDpi w14:val="300"/>
  <w15:docId w15:val="{EB938B8E-B46F-4E63-B5E4-B2F9DBD8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School of Public Health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Lewnard, Joseph</dc:creator>
  <cp:keywords/>
  <dc:description/>
  <cp:lastModifiedBy>Kwon, Jiye</cp:lastModifiedBy>
  <cp:revision>4</cp:revision>
  <cp:lastPrinted>2020-09-10T00:09:00Z</cp:lastPrinted>
  <dcterms:created xsi:type="dcterms:W3CDTF">2023-09-14T02:22:00Z</dcterms:created>
  <dcterms:modified xsi:type="dcterms:W3CDTF">2023-09-14T14:18:00Z</dcterms:modified>
</cp:coreProperties>
</file>