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As a user, I can make a special move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Several chess pieces can make special moves in the game. Examples are the pawn’s en passant and castling. The user should be able to move these aspects of chess during the game.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Acceptance criteria:</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The user can perform castling and swap their king and rook following castling rules</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The user can perform en passant capturing using pawns following en passant rules</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The user can perform any other special rule that is involved in chess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Programming tasks:</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Implement castling</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Implement en passant captures</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Implement other special gamerules of chess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Estimated programmer points: 4</w:t>
      </w:r>
    </w:p>
    <w:p w:rsidR="00000000" w:rsidDel="00000000" w:rsidP="00000000" w:rsidRDefault="00000000" w:rsidRPr="00000000" w14:paraId="0000000F">
      <w:pPr>
        <w:contextualSpacing w:val="0"/>
        <w:rPr/>
      </w:pPr>
      <w:r w:rsidDel="00000000" w:rsidR="00000000" w:rsidRPr="00000000">
        <w:rPr>
          <w:rtl w:val="0"/>
        </w:rPr>
        <w:t xml:space="preserve">Priority in MoSCoW: Must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