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pStyle w:val="Title"/>
        <w:jc w:val="center"/>
        <w:rPr>
          <w:b/>
          <w:sz w:val="36"/>
          <w:szCs w:val="36"/>
          <w:shd w:val="clear" w:fill="ffc627"/>
        </w:rPr>
      </w:pPr>
      <w:bookmarkStart w:id="0" w:name="_ea6mgq6osu86"/>
      <w:r>
        <w:rPr>
          <w:rFonts w:ascii="Arial" w:hAnsi="Arial" w:eastAsia="Arial" w:cs="Arial"/>
          <w:b/>
          <w:bCs/>
          <w:sz w:val="52"/>
          <w:szCs w:val="52"/>
        </w:rPr>
        <w:t>gRPC Written Report</w:t>
      </w:r>
      <w:r>
        <w:rPr>
          <w:rtl w:val="0"/>
        </w:rPr>
      </w:r>
      <w:bookmarkEnd w:id="0"/>
    </w:p>
    <w:p w14:paraId="00000002">
      <w:pPr>
        <w:pStyle w:val="Heading1"/>
      </w:pPr>
      <w:bookmarkStart w:id="1" w:name="_ubojv18ilzct"/>
      <w:r>
        <w:rPr>
          <w:rFonts w:ascii="Arial" w:hAnsi="Arial" w:eastAsia="Arial" w:cs="Arial"/>
          <w:b/>
          <w:bCs/>
          <w:sz w:val="40"/>
          <w:szCs w:val="40"/>
          <w:shd w:val="clear" w:color="auto" w:fill="ffc627"/>
        </w:rPr>
        <w:t>Directions</w:t>
      </w:r>
      <w:bookmarkEnd w:id="1"/>
    </w:p>
    <w:p w14:paraId="00000003">
      <w:pPr>
        <w:spacing w:after="200" w:lineRule="auto"/>
      </w:pPr>
      <w:r>
        <w:rPr>
          <w:rFonts w:ascii="Arial" w:hAnsi="Arial" w:eastAsia="Arial" w:cs="Arial"/>
          <w:sz w:val="24"/>
          <w:szCs w:val="24"/>
        </w:rPr>
        <w:t xml:space="preserve">Use this learner template to write your report for the </w:t>
      </w:r>
      <w:r>
        <w:rPr>
          <w:rFonts w:ascii="Arial" w:hAnsi="Arial" w:eastAsia="Arial" w:cs="Arial"/>
          <w:b/>
          <w:bCs/>
          <w:sz w:val="24"/>
          <w:szCs w:val="24"/>
        </w:rPr>
        <w:t>gRPC Project</w:t>
      </w:r>
      <w:r>
        <w:rPr>
          <w:rFonts w:ascii="Arial" w:hAnsi="Arial" w:eastAsia="Arial" w:cs="Arial"/>
          <w:sz w:val="24"/>
          <w:szCs w:val="24"/>
        </w:rPr>
        <w:t>. Replace the placeholder text within each section with the required information. You may add subheadings on the template to purposefully call attention to specific, organized details.</w:t>
      </w:r>
    </w:p>
    <w:p w14:paraId="00000004">
      <w:pPr>
        <w:spacing w:after="200" w:lineRule="auto"/>
        <w:rPr>
          <w:i/>
        </w:rPr>
      </w:pPr>
      <w:r>
        <w:rPr>
          <w:rFonts w:ascii="Arial" w:hAnsi="Arial" w:eastAsia="Arial" w:cs="Arial"/>
          <w:sz w:val="24"/>
          <w:szCs w:val="24"/>
        </w:rPr>
        <w:t xml:space="preserve">Your written report must be a single PDF with the correct naming convention: </w:t>
      </w:r>
      <w:r>
        <w:rPr>
          <w:rFonts w:ascii="Arial" w:hAnsi="Arial" w:eastAsia="Arial" w:cs="Arial"/>
          <w:i/>
          <w:iCs/>
          <w:sz w:val="24"/>
          <w:szCs w:val="24"/>
        </w:rPr>
        <w:t xml:space="preserve">CSE 531_Your Name_gRPC_Written Report.  </w:t>
      </w:r>
    </w:p>
    <w:p w14:paraId="00000005">
      <w:pPr>
        <w:spacing w:after="200" w:lineRule="auto"/>
      </w:pPr>
      <w:r>
        <w:rPr>
          <w:rFonts w:ascii="Arial" w:hAnsi="Arial" w:eastAsia="Arial" w:cs="Arial"/>
          <w:sz w:val="24"/>
          <w:szCs w:val="24"/>
        </w:rPr>
        <w:t xml:space="preserve">You must submit this report in the designated submission space in the course. Learners may </w:t>
      </w:r>
      <w:r>
        <w:rPr>
          <w:rFonts w:ascii="Arial" w:hAnsi="Arial" w:eastAsia="Arial" w:cs="Arial"/>
          <w:b/>
          <w:bCs/>
          <w:sz w:val="24"/>
          <w:szCs w:val="24"/>
        </w:rPr>
        <w:t>not</w:t>
      </w:r>
      <w:r>
        <w:rPr>
          <w:rFonts w:ascii="Arial" w:hAnsi="Arial" w:eastAsia="Arial" w:cs="Arial"/>
          <w:sz w:val="24"/>
          <w:szCs w:val="24"/>
        </w:rPr>
        <w:t xml:space="preserve"> email or use other means to submit this project deliverable for course team review and grading. Learners should review the academic integrity and plagiarism policies prior to beginning this project. </w:t>
      </w:r>
    </w:p>
    <w:p w14:paraId="00000006">
      <w:pPr>
        <w:spacing w:after="200" w:lineRule="auto"/>
        <w:rPr>
          <w:i/>
        </w:rPr>
      </w:pPr>
      <w:r>
        <w:rPr>
          <w:rFonts w:ascii="Arial" w:hAnsi="Arial" w:eastAsia="Arial" w:cs="Arial"/>
          <w:sz w:val="24"/>
          <w:szCs w:val="24"/>
        </w:rPr>
        <w:t xml:space="preserve">Rubrics communicate specific criteria for evaluation. Prior to starting any graded coursework, you are expected to read through the rubric found on the project overview document, so you know how you will be assessed. You are encouraged to self-assess your work and make informed revisions before submitting. Engaging in this learning practice will support you in developing your highest quality deliverables. </w:t>
      </w:r>
      <w:r>
        <w:rPr>
          <w:rFonts w:ascii="Arial" w:hAnsi="Arial" w:eastAsia="Arial" w:cs="Arial"/>
          <w:i/>
          <w:iCs/>
          <w:sz w:val="24"/>
          <w:szCs w:val="24"/>
        </w:rPr>
        <w:t>Points may be deducted at the discretion of the course team for disorganized submissions that convolute the grading process.</w:t>
      </w:r>
      <w:r>
        <w:rPr>
          <w:rtl w:val="0"/>
        </w:rPr>
      </w:r>
    </w:p>
    <w:p w14:paraId="00000007">
      <w:pPr>
        <w:pStyle w:val="Heading1"/>
        <w:rPr>
          <w:b/>
          <w:shd w:val="clear" w:fill="ffc627"/>
        </w:rPr>
      </w:pPr>
      <w:bookmarkStart w:id="2" w:name="_hx1oaibgqotc"/>
      <w:r>
        <w:rPr>
          <w:rFonts w:ascii="Arial" w:hAnsi="Arial" w:eastAsia="Arial" w:cs="Arial"/>
          <w:b/>
          <w:bCs/>
          <w:sz w:val="40"/>
          <w:szCs w:val="40"/>
          <w:shd w:val="clear" w:color="auto" w:fill="ffc627"/>
        </w:rPr>
        <w:t>Problem Statement</w:t>
      </w:r>
      <w:r>
        <w:rPr>
          <w:rtl w:val="0"/>
        </w:rPr>
      </w:r>
      <w:bookmarkEnd w:id="2"/>
    </w:p>
    <w:p w14:paraId="00000008">
      <w:r>
        <w:rPr>
          <w:rFonts w:ascii="Arial" w:hAnsi="Arial" w:eastAsia="Arial" w:cs="Arial"/>
          <w:sz w:val="24"/>
          <w:szCs w:val="24"/>
        </w:rPr>
        <w:t xml:space="preserve">A distributed banking system may have multiple branches that each store a copy, or replica, of the same account balance. Customers interact with their assigned branches to query the balance, deposit money, or withdraw money. When one branch changes its copy, the other branches must also receive the update. Otherwise, customers cound receive different balances depending on which branch they contact. </w:t>
      </w:r>
    </w:p>
    <w:p w14:paraId="1CC82FF9">
      <w:pPr>
        <w:spacing w:line="276" w:lineRule="auto"/>
      </w:pPr>
    </w:p>
    <w:p w14:paraId="1E42A245">
      <w:pPr>
        <w:spacing w:line="276" w:lineRule="auto"/>
      </w:pPr>
      <w:r>
        <w:t xml:space="preserve">In this project, all customers share one account, and each customer communicates with the branch that has the same ID. The system assumes that account operations are not performed concurrently. </w:t>
      </w:r>
    </w:p>
    <w:p w14:paraId="00000009">
      <w:pPr>
        <w:pStyle w:val="Heading1"/>
        <w:spacing w:after="200" w:lineRule="auto"/>
      </w:pPr>
      <w:bookmarkStart w:id="3" w:name="_et4sh4h4zkt9"/>
      <w:r>
        <w:rPr>
          <w:rFonts w:ascii="Arial" w:hAnsi="Arial" w:eastAsia="Arial" w:cs="Arial"/>
          <w:b/>
          <w:bCs/>
          <w:sz w:val="40"/>
          <w:szCs w:val="40"/>
          <w:shd w:val="clear" w:color="auto" w:fill="ffc627"/>
        </w:rPr>
        <w:t>Goal</w:t>
      </w:r>
      <w:bookmarkEnd w:id="3"/>
    </w:p>
    <w:p w14:paraId="0000000A">
      <w:r>
        <w:rPr>
          <w:rFonts w:ascii="Arial" w:hAnsi="Arial" w:eastAsia="Arial" w:cs="Arial"/>
          <w:sz w:val="24"/>
          <w:szCs w:val="24"/>
        </w:rPr>
        <w:t>The goal was to implement a distributed banking system that uses gRPC to communicate between customer and branch processes and between branch processes. Each branch maintains a replica of the account balance. Deposits and withdrawals must be propagated to the other branches so their replicas reflect the updates, while queries return the balance stored at the customer's assigned branch.</w:t>
      </w:r>
    </w:p>
    <w:p w14:paraId="3F25499A">
      <w:pPr>
        <w:spacing w:line="276" w:lineRule="auto"/>
      </w:pPr>
    </w:p>
    <w:p w14:paraId="2C871DCA">
      <w:pPr>
        <w:spacing w:line="276" w:lineRule="auto"/>
      </w:pPr>
      <w:r>
        <w:t>The project also required processing events in order by their unique event IDs, recording customer responses in a JSON output file, and terminating the processes after the events were completed.</w:t>
      </w:r>
    </w:p>
    <w:p w14:paraId="0000000B">
      <w:pPr>
        <w:pStyle w:val="Heading1"/>
        <w:spacing w:after="200" w:lineRule="auto"/>
      </w:pPr>
      <w:bookmarkStart w:id="4" w:name="_fq4xaix2mjfn"/>
      <w:r>
        <w:rPr>
          <w:rFonts w:ascii="Arial" w:hAnsi="Arial" w:eastAsia="Arial" w:cs="Arial"/>
          <w:b/>
          <w:bCs/>
          <w:sz w:val="40"/>
          <w:szCs w:val="40"/>
          <w:shd w:val="clear" w:color="auto" w:fill="ffc627"/>
        </w:rPr>
        <w:t>Setup</w:t>
      </w:r>
      <w:bookmarkEnd w:id="4"/>
    </w:p>
    <w:p w14:paraId="0000000C">
      <w:pPr>
        <w:spacing w:after="0" w:lineRule="auto"/>
      </w:pPr>
      <w:r>
        <w:rPr>
          <w:rFonts w:ascii="Arial" w:hAnsi="Arial" w:eastAsia="Arial" w:cs="Arial"/>
          <w:sz w:val="24"/>
          <w:szCs w:val="24"/>
        </w:rPr>
        <w:t xml:space="preserve">The project was implemented in Python 3.13 on macOS. A Python virtual environment was used to install the required library versions: </w:t>
      </w:r>
    </w:p>
    <w:p w14:paraId="3AF0A2AF">
      <w:pPr>
        <w:numPr>
          <w:ilvl w:val="0"/>
          <w:numId w:val="1"/>
        </w:numPr>
        <w:spacing w:line="276" w:lineRule="auto"/>
      </w:pPr>
      <w:r>
        <w:t>grpcio 1.71.2</w:t>
      </w:r>
    </w:p>
    <w:p w14:paraId="1AF30364">
      <w:pPr>
        <w:numPr>
          <w:ilvl w:val="0"/>
          <w:numId w:val="1"/>
        </w:numPr>
        <w:spacing w:line="276" w:lineRule="auto"/>
      </w:pPr>
      <w:r>
        <w:t>grpcio-tools 1.71.2</w:t>
      </w:r>
    </w:p>
    <w:p w14:paraId="37E3896D">
      <w:pPr>
        <w:numPr>
          <w:ilvl w:val="0"/>
          <w:numId w:val="1"/>
        </w:numPr>
        <w:spacing w:line="276" w:lineRule="auto"/>
      </w:pPr>
      <w:r>
        <w:t>protobuf 5.29.6</w:t>
      </w:r>
    </w:p>
    <w:p w14:paraId="6A74510A">
      <w:pPr>
        <w:spacing w:line="276" w:lineRule="auto"/>
      </w:pPr>
      <w:r>
        <w:t>gRPC provided communication between the separate processes. Protocol Buffers defined the request and response message formats and generated the Python code used by the gRPC clients and servers. JSON files supplied the customer events and initial branch balances and stored the resulting customer responses.</w:t>
      </w:r>
    </w:p>
    <w:p w14:paraId="0000000D">
      <w:pPr>
        <w:pStyle w:val="Heading1"/>
        <w:spacing w:after="200" w:lineRule="auto"/>
      </w:pPr>
      <w:bookmarkStart w:id="5" w:name="_jskxqkbgsdb8"/>
      <w:r>
        <w:rPr>
          <w:rFonts w:ascii="Arial" w:hAnsi="Arial" w:eastAsia="Arial" w:cs="Arial"/>
          <w:b/>
          <w:bCs/>
          <w:sz w:val="40"/>
          <w:szCs w:val="40"/>
          <w:shd w:val="clear" w:color="auto" w:fill="ffc627"/>
        </w:rPr>
        <w:t>Implementation Processes</w:t>
      </w:r>
      <w:bookmarkEnd w:id="5"/>
    </w:p>
    <w:p w14:paraId="0000000E">
      <w:pPr>
        <w:ind w:left="0"/>
      </w:pPr>
      <w:r>
        <w:t xml:space="preserve">First, the gRPC service was defined in </w:t>
      </w:r>
      <w:r>
        <w:rPr>
          <w:i/>
          <w:iCs/>
        </w:rPr>
        <w:t xml:space="preserve">protos/banks.proto. </w:t>
      </w:r>
      <w:r>
        <w:t xml:space="preserve">The service contains a MsgDelivery RPC that accepts a request and returns a response. Requests contain an event ID, an interface identifying the operation, and a money amount when applicable. Responses contain the branch's balance. The Protocol Buffers compiler generated the Python message and gRPC service modules from this definition. </w:t>
      </w:r>
    </w:p>
    <w:p w14:paraId="5ADE96BF">
      <w:pPr>
        <w:spacing w:line="276" w:lineRule="auto"/>
      </w:pPr>
    </w:p>
    <w:p w14:paraId="6709E80E">
      <w:pPr>
        <w:spacing w:line="276" w:lineRule="auto"/>
      </w:pPr>
      <w:r>
        <w:t xml:space="preserve">Next, the Customer class was completed. Each customer creates a gRPC stub connected to the branch with the same ID. The customer uses the stub to submit its events and records successful responses. Query responses include the balance, while deposit and withdrawal responses are recorded as successful operations. </w:t>
      </w:r>
    </w:p>
    <w:p w14:paraId="2DD57C6E">
      <w:pPr>
        <w:spacing w:line="276" w:lineRule="auto"/>
      </w:pPr>
    </w:p>
    <w:p w14:paraId="0E85A92A">
      <w:pPr>
        <w:spacing w:line="276" w:lineRule="auto"/>
      </w:pPr>
      <w:r>
        <w:t>The Branch class was completed to handle incoming requests through MsgDelivery. A query returns the local balance. A deposit or withdrawal first updates the receiving branch's balance and then sends a propagation request to each other branch. A branch receiving a progated update changes its local balance without broadcasting the update again.</w:t>
      </w:r>
    </w:p>
    <w:p w14:paraId="1A8F3F74">
      <w:pPr>
        <w:spacing w:line="276" w:lineRule="auto"/>
      </w:pPr>
    </w:p>
    <w:p w14:paraId="2B21D717">
      <w:pPr>
        <w:spacing w:line="276" w:lineRule="auto"/>
      </w:pPr>
      <w:r>
        <w:t xml:space="preserve">The program was organized into separate server and client entry points. server.py reads the input and starts a seperate process and gRPC server for each branch. client.py reads the customer records, schedules events in ascending event-ID order, and runs customer processes. The client waits for each event to complete before sending the next one. Because propagation calls are synchronous, a customer update completes after the receiving branch has received responses from the other branches. After all events are processed, the client writes the customer responses to output.json and signals the branch servers to shut down. </w:t>
      </w:r>
    </w:p>
    <w:p w14:paraId="0000000F">
      <w:pPr>
        <w:pStyle w:val="Heading1"/>
        <w:spacing w:after="200" w:lineRule="auto"/>
      </w:pPr>
      <w:bookmarkStart w:id="6" w:name="_9m49e7iatmiv"/>
      <w:r>
        <w:rPr>
          <w:rFonts w:ascii="Arial" w:hAnsi="Arial" w:eastAsia="Arial" w:cs="Arial"/>
          <w:b/>
          <w:bCs/>
          <w:sz w:val="40"/>
          <w:szCs w:val="40"/>
          <w:shd w:val="clear" w:color="auto" w:fill="ffc627"/>
        </w:rPr>
        <w:t>Results</w:t>
      </w:r>
      <w:bookmarkEnd w:id="6"/>
    </w:p>
    <w:p w14:paraId="00000010">
      <w:pPr>
        <w:ind w:left="0"/>
      </w:pPr>
      <w:r>
        <w:rPr>
          <w:rFonts w:ascii="Arial" w:hAnsi="Arial" w:eastAsia="Arial" w:cs="Arial"/>
          <w:sz w:val="24"/>
          <w:szCs w:val="24"/>
        </w:rPr>
        <w:t xml:space="preserve">The system was tested with the supplied input containing 50 branch IDs and 100 customer records across two rounds. The branches started with a balance of $400. In the first round, 50 deposits of $10 increased the balance to $900. In the second round, 50 withdrawals of $10 decreased it back to $400. </w:t>
      </w:r>
    </w:p>
    <w:p w14:paraId="35051A03">
      <w:pPr>
        <w:spacing w:line="276" w:lineRule="auto"/>
      </w:pPr>
    </w:p>
    <w:p w14:paraId="1049B974">
      <w:pPr>
        <w:spacing w:line="276" w:lineRule="auto"/>
      </w:pPr>
      <w:r>
        <w:t xml:space="preserve">The genereted output contained 100 customer records and 200 responses. The responses were checked against the input events and expected balance sequence; all 200 matched. Responses from different branches reflected the preceding updates, providing evidence that propogation worked during the test. </w:t>
      </w:r>
    </w:p>
    <w:p w14:paraId="5D168747">
      <w:pPr>
        <w:spacing w:line="276" w:lineRule="auto"/>
      </w:pPr>
    </w:p>
    <w:p w14:paraId="0E5D138E">
      <w:pPr>
        <w:spacing w:line="276" w:lineRule="auto"/>
      </w:pPr>
      <w:r>
        <w:t>The program was also tested with the three-customer example in the project directions. Its output matched the expected query balances of $400, $570, and $500. Ten focused tests passed, covering the five branch operations, customer reponse formatting, and event scheduling.</w:t>
      </w:r>
    </w:p>
    <w:p w14:paraId="4C8D96E0">
      <w:pPr>
        <w:spacing w:line="276" w:lineRule="auto"/>
      </w:pPr>
    </w:p>
    <w:p w14:paraId="754C5A75">
      <w:pPr>
        <w:spacing w:line="276" w:lineRule="auto"/>
      </w:pPr>
      <w:r>
        <w:t xml:space="preserve">The implementation follows the project's assumption that account apdates are not concurrent. It does not implement rollback or recovery if a propagation fails partway through; the successful test results describe runs in which the branch processes remained available. </w:t>
      </w:r>
    </w:p>
    <w:p w14:paraId="00000011">
      <w:pPr>
        <w:spacing w:after="200" w:lineRule="auto"/>
      </w:pPr>
      <w:r>
        <w:rPr>
          <w:rtl w:val="0"/>
        </w:rPr>
      </w:r>
    </w:p>
    <w:sectPr>
      <w:headerReference w:type="default" r:id="rId6"/>
      <w:headerReference w:type="first" r:id="rId7"/>
      <w:footerReference w:type="default" r:id="rId8"/>
      <w:footerReference w:type="first" r:id="rId9"/>
      <w:pgSz w:w="12240" w:h="15840"/>
      <w:pgMar w:top="720" w:right="720" w:bottom="720" w:left="72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7">
    <w:pPr>
      <w:jc w:val="right"/>
    </w:pPr>
    <w:r>
      <w:fldChar w:fldCharType="begin"/>
    </w:r>
    <w:r>
      <w:instrText>PAGE</w:instrText>
    </w:r>
    <w:r>
      <w:fldChar w:fldCharType="separate"/>
    </w:r>
    <w:r>
      <w:fldChar w:fldCharType="end"/>
    </w:r>
    <w:r>
      <w:rPr>
        <w:rtl w:val="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8">
    <w:r>
      <w:rPr>
        <w:rtl w:val="0"/>
      </w:rP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2">
    <w:pPr>
      <w:spacing w:after="200" w:lineRule="auto"/>
      <w:jc w:val="left"/>
      <w:rPr>
        <w:sz w:val="24"/>
        <w:szCs w:val="24"/>
        <w:shd w:val="clear" w:fill="ffc627"/>
      </w:rPr>
    </w:pPr>
    <w:r>
      <w:rPr>
        <w:rtl w:val="0"/>
      </w:rPr>
    </w:r>
  </w:p>
  <w:p w14:paraId="00000013">
    <w:pPr>
      <w:spacing w:after="200" w:lineRule="auto"/>
      <w:jc w:val="left"/>
      <w:rPr>
        <w:sz w:val="24"/>
        <w:szCs w:val="24"/>
        <w:shd w:val="clear" w:fill="ffc627"/>
      </w:rPr>
    </w:pPr>
    <w:r>
      <w:rPr>
        <w:rtl w:val="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4">
    <w:pPr>
      <w:spacing w:after="200" w:lineRule="auto"/>
      <w:jc w:val="center"/>
    </w:pPr>
    <w:r>
      <w:rPr>
        <w:i/>
        <w:highlight w:val="white"/>
      </w:rPr>
      <w:drawing>
        <wp:inline distT="114300" distB="114300" distL="114300" distR="114300">
          <wp:extent cx="2036554" cy="671513"/>
          <wp:effectExtent l="0" t="0" r="0" b="0"/>
          <wp:docPr id="1" name="image1.png" descr="ASU Ira A. Fulton Schools of Engineering'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SU Ira A. Fulton Schools of Engineering's logo."/>
                  <pic:cNvPicPr/>
                </pic:nvPicPr>
                <pic:blipFill>
                  <a:blip r:embed="rId5"/>
                  <a:stretch>
                    <a:fillRect/>
                  </a:stretch>
                </pic:blipFill>
                <pic:spPr>
                  <a:xfrm>
                    <a:off x="0" y="0"/>
                    <a:ext cx="2036554" cy="671513"/>
                  </a:xfrm>
                  <a:prstGeom prst="rect">
                    <a:avLst/>
                  </a:prstGeom>
                </pic:spPr>
              </pic:pic>
            </a:graphicData>
          </a:graphic>
        </wp:inline>
      </w:drawing>
    </w:r>
    <w:r>
      <w:rPr>
        <w:rtl w:val="0"/>
      </w:rPr>
    </w:r>
  </w:p>
  <w:p w14:paraId="00000015">
    <w:pPr>
      <w:spacing w:before="200" w:lineRule="auto"/>
      <w:jc w:val="center"/>
      <w:rPr>
        <w:color w:val="68737b"/>
        <w:sz w:val="24"/>
        <w:szCs w:val="24"/>
      </w:rPr>
    </w:pPr>
    <w:r>
      <w:rPr>
        <w:b/>
        <w:color w:val="5c6670"/>
        <w:sz w:val="28"/>
        <w:szCs w:val="28"/>
        <w:rtl w:val="0"/>
      </w:rPr>
      <w:t xml:space="preserve">CSE 531: Distributed and Multiprocessor Operating Systems</w:t>
    </w:r>
    <w:r>
      <w:rPr>
        <w:rtl w:val="0"/>
      </w:rPr>
    </w:r>
  </w:p>
  <w:p w14:paraId="00000016">
    <w:pPr>
      <w:jc w:val="left"/>
    </w:pPr>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200" w:before="400" w:lineRule="auto"/>
    </w:pPr>
    <w:rPr>
      <w:b w:val="1"/>
      <w:sz w:val="40"/>
      <w:szCs w:val="40"/>
      <w:shd w:fill="ffc627" w:val="clear"/>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