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 RACA section removed: deferred to follow-up paper (see project_management/future_analyses.md) -->
    <w:p>
      <w:pPr>
        <w:jc w:val="center"/>
      </w:pPr>
      <w:r>
        <w:rPr>
          <w:rFonts w:ascii="Times New Roman" w:hAnsi="Times New Roman"/>
          <w:b/>
          <w:sz w:val="32"/>
        </w:rPr>
        <w:t>METHODS</w:t>
      </w:r>
    </w:p>
    <w:p>
      <w:pPr>
        <w:spacing w:before="240" w:after="120"/>
      </w:pPr>
      <w:r>
        <w:rPr>
          <w:rFonts w:ascii="Times New Roman" w:hAnsi="Times New Roman"/>
          <w:b/>
          <w:sz w:val="26"/>
        </w:rPr>
        <w:t>Genome Assembly Inventory</w:t>
      </w:r>
    </w:p>
    <w:p>
      <w:pPr>
        <w:spacing w:after="120"/>
        <w:ind w:firstLine="720"/>
      </w:pPr>
      <w:r>
        <w:rPr>
          <w:rFonts w:ascii="Times New Roman" w:hAnsi="Times New Roman"/>
          <w:sz w:val="22"/>
        </w:rPr>
        <w:t>We compiled a comprehensive inventory of all publicly available genome assemblies for Coleoptera and the outgroup orders Neuropterida (Raphidioptera, Megaloptera, and Neuroptera) from NCBI Genome (accessed March 2026). Assemblies were retrieved using the NCBI Datasets API v2 (Sayers et al. 2022) with paginated queries for the taxonomic identifiers Coleoptera (taxid 7041), Raphidioptera (taxid 50482), Megaloptera (taxid 50553), and Neuroptera (taxid 7516). This yielded 1,121 total assemblies: 971 Coleoptera and 150 Neuropterida.</w:t>
      </w:r>
    </w:p>
    <w:p>
      <w:pPr>
        <w:spacing w:after="120"/>
        <w:ind w:firstLine="720"/>
      </w:pPr>
      <w:r>
        <w:rPr>
          <w:rFonts w:ascii="Times New Roman" w:hAnsi="Times New Roman"/>
          <w:sz w:val="22"/>
        </w:rPr>
        <w:t>For each assembly, we recorded accession number, species name, assembly level (chromosome, scaffold, contig, or complete genome), genome size, scaffold N50, contig N50, number of scaffolds, GC content, gene annotation availability, annotation source, submission date, BioProject, and BioSample identifiers. Taxonomic lineages (family, superfamily, suborder, order) were obtained by batch querying NCBI Taxonomy via the Entrez E-utilities (Sayers et al. 2022) for all unique taxonomic identifiers.</w:t>
      </w:r>
    </w:p>
    <w:p>
      <w:pPr>
        <w:spacing w:before="240" w:after="120"/>
      </w:pPr>
      <w:r>
        <w:rPr>
          <w:rFonts w:ascii="Times New Roman" w:hAnsi="Times New Roman"/>
          <w:b/>
          <w:sz w:val="26"/>
        </w:rPr>
        <w:t>Assembly Deduplication and Quality Scoring</w:t>
      </w:r>
    </w:p>
    <w:p>
      <w:pPr>
        <w:spacing w:after="120"/>
        <w:ind w:firstLine="720"/>
      </w:pPr>
      <w:r>
        <w:rPr>
          <w:rFonts w:ascii="Times New Roman" w:hAnsi="Times New Roman"/>
          <w:sz w:val="22"/>
        </w:rPr>
        <w:t>Many species had both GenBank (GCA_) and RefSeq (GCF_) assemblies sharing identical numeric accession components, representing mirror copies of the same underlying data. We identified 22 such GCA/GCF mirror pairs by extracting numeric accession parts and checking for both prefix variants. For each pair, the RefSeq assembly was preferred when available, as RefSeq assemblies undergo additional quality checks.</w:t>
      </w:r>
    </w:p>
    <w:p>
      <w:pPr>
        <w:spacing w:after="120"/>
        <w:ind w:firstLine="720"/>
      </w:pPr>
      <w:r>
        <w:rPr>
          <w:rFonts w:ascii="Times New Roman" w:hAnsi="Times New Roman"/>
          <w:sz w:val="22"/>
        </w:rPr>
        <w:t>To select the best representative genome for each species, we computed a composite quality score incorporating four components: (1) assembly level score (chromosome = 40, scaffold = 20, contig = 10, complete genome = 50), (2) scaffold N50 quality (log10(scaffold N50) × 10), (3) RefSeq bonus (30 points for representative genome, 20 for all other RefSeq categories), and (4) annotation bonus (10 points for assemblies with gene annotations). For species with multiple assemblies, the highest-scoring assembly was selected as the primary representative, yielding 687 primary genome selections: 560 Coleoptera species across 61 families and 127 Neuropterida species.</w:t>
      </w:r>
    </w:p>
    <w:p>
      <w:pPr>
        <w:spacing w:before="240" w:after="120"/>
      </w:pPr>
      <w:r>
        <w:rPr>
          <w:rFonts w:ascii="Times New Roman" w:hAnsi="Times New Roman"/>
          <w:b/>
          <w:sz w:val="26"/>
        </w:rPr>
        <w:t>Quality Filtering for Alignment</w:t>
      </w:r>
    </w:p>
    <w:p>
      <w:pPr>
        <w:spacing w:after="120"/>
        <w:ind w:firstLine="720"/>
      </w:pPr>
      <w:r>
        <w:rPr>
          <w:rFonts w:ascii="Times New Roman" w:hAnsi="Times New Roman"/>
          <w:sz w:val="22"/>
        </w:rPr>
        <w:t>From the 687 primary genomes, we applied a quality filter requiring contig N50 ≥ 100 kb and ≤ 10,000 total scaffolds for inclusion in the whole-genome alignment. These thresholds were chosen to ensure sufficient contiguity for Progressive Cactus to identify syntenic anchors while excluding highly fragmented assemblies that would inflate computational costs without contributing meaningful alignment signal. The initial quality-approved set comprised 439 genomes.</w:t>
      </w:r>
    </w:p>
    <w:p>
      <w:pPr>
        <w:spacing w:after="120"/>
        <w:ind w:firstLine="720"/>
      </w:pPr>
      <w:r>
        <w:rPr>
          <w:rFonts w:ascii="Times New Roman" w:hAnsi="Times New Roman"/>
          <w:sz w:val="22"/>
        </w:rPr>
        <w:t>We subsequently identified 39 additional genomes from the "conditional" category that passed these quality thresholds upon re-examination. Many of these were high-quality HiFi assemblies classified as "contig-level" by NCBI despite having excellent contiguity (contig N50 &gt; 1 Mb). These recovery genomes added two previously unrepresented families (Lycidae and Rhagophthalmidae) and were downloaded from NCBI using a custom Python 3.6-compatible script with the urllib library, executed on the TAMU Grace HPC transfer partition. The final dataset comprised 478 genomes (466 post-quality-filter for Cactus alignment), spanning 63 beetle families representing all three extant suborders—Polyphaga, Adephaga, and Archostemata (Priacma serrata)—plus 17 Neuropterida outgroup species.</w:t>
      </w:r>
    </w:p>
    <w:p>
      <w:pPr>
        <w:spacing w:before="240" w:after="120"/>
      </w:pPr>
      <w:r>
        <w:rPr>
          <w:rFonts w:ascii="Times New Roman" w:hAnsi="Times New Roman"/>
          <w:b/>
          <w:sz w:val="26"/>
        </w:rPr>
        <w:t>Data Use Restriction Audit</w:t>
      </w:r>
    </w:p>
    <w:p>
      <w:pPr>
        <w:spacing w:after="120"/>
        <w:ind w:firstLine="720"/>
      </w:pPr>
      <w:r>
        <w:rPr>
          <w:rFonts w:ascii="Times New Roman" w:hAnsi="Times New Roman"/>
          <w:sz w:val="22"/>
        </w:rPr>
        <w:t>All 687 primary genome selections were audited for data use restrictions. Assemblies were classified as LOW risk (published or RefSeq with no known restrictions), MEDIUM risk (associated with PRJEB-prefix BioProjects, potentially indicating Earth BioGenome Project or Darwin Tree of Life origin with pre-publication data use conditions), or HIGH risk (known embargo or restriction). All quality-approved selections were classified as LOW risk.</w:t>
      </w:r>
    </w:p>
    <w:p>
      <w:pPr>
        <w:spacing w:before="240" w:after="120"/>
      </w:pPr>
      <w:r>
        <w:rPr>
          <w:rFonts w:ascii="Times New Roman" w:hAnsi="Times New Roman"/>
          <w:b/>
          <w:sz w:val="26"/>
        </w:rPr>
        <w:t>Guide Tree Construction</w:t>
      </w:r>
    </w:p>
    <w:p>
      <w:pPr>
        <w:spacing w:after="120"/>
        <w:ind w:firstLine="720"/>
      </w:pPr>
      <w:r>
        <w:rPr>
          <w:rFonts w:ascii="Times New Roman" w:hAnsi="Times New Roman"/>
          <w:sz w:val="22"/>
        </w:rPr>
        <w:t>Progressive Cactus v2.9.3 (Armstrong et al. 2020) requires a guide tree with branch lengths in substitutions per site to tune alignment sensitivity across divergent lineages. We constructed a guide tree through a two-stage process.</w:t>
      </w:r>
    </w:p>
    <w:p>
      <w:pPr>
        <w:spacing w:after="120"/>
        <w:ind w:firstLine="720"/>
      </w:pPr>
      <w:r>
        <w:rPr>
          <w:rFonts w:ascii="Times New Roman" w:hAnsi="Times New Roman"/>
          <w:sz w:val="22"/>
        </w:rPr>
        <w:t>First, we built an approximate tree for 439 taxa using 15 conserved nuclear protein-coding genes. The 15 longest ancestral protein sequences (1,778–3,033 amino acids) were selected from the BUSCO insecta_odb10 lineage dataset (Manni et al. 2021), which contains 1,367 conserved insect single-copy ortholog profiles. Each protein was searched against all 439 genome assemblies using tBLASTn from BLAST+ v2.14.0 (Camacho et al. 2009) with an E-value threshold of 1e−5. Hits were filtered to retain only those with ≥100 amino acid alignment length and ≥30% protein identity. For each gene, protein sequences from all taxa with passing hits were aligned using MAFFT v7.520 (Katoh &amp; Standley 2013) with the “--auto” strategy, which selects the appropriate algorithm (L-INS-i, FFT-NS-2, etc.) based on alignment size. Aligned genes were concatenated into a protein supermatrix of 43,060 aligned amino acid positions, with missing genes for a given taxon represented as gap characters. All 439 taxa yielded hits for at least one marker gene (range: 9–15 genes per taxon, mean 13.5). An approximately maximum-likelihood tree was inferred from the supermatrix using FastTree v2.1.11 (Price et al. 2010) under the WAG model with gamma-distributed rate variation (20 discrete rate categories). The tree was rooted on 17 Neuropterida outgroup taxa.</w:t>
      </w:r>
    </w:p>
    <w:p>
      <w:pPr>
        <w:spacing w:after="120"/>
        <w:ind w:firstLine="720"/>
      </w:pPr>
      <w:r>
        <w:rPr>
          <w:rFonts w:ascii="Times New Roman" w:hAnsi="Times New Roman"/>
          <w:sz w:val="22"/>
        </w:rPr>
        <w:t>Second, the 39 recovery taxa were incorporated by identifying the nearest neighbor in the 439-taxon tree based on shared gene content and grafting each recovery taxon as a sister to its nearest relative with a short branch length. A maximum-likelihood tree was then inferred for all 478 taxa using IQ-TREE v2.3.6 (Minh et al. 2020) with the LG+G4 model, using the grafted tree as a starting topology. The resulting tree (branch lengths in substitutions per site; range 1.06 × 10⁻³ to 1.33, mean 0.097) served as the Progressive Cactus guide tree. A root trifurcation was resolved to a bifurcation using the ape package v5.7-1 (Paradis &amp; Schliep 2019) in R v4.4.2 (R Core Team 2024), as Cactus requires a fully binary tree.</w:t>
      </w:r>
    </w:p>
    <w:p>
      <w:pPr>
        <w:spacing w:before="240" w:after="120"/>
      </w:pPr>
      <w:r>
        <w:rPr>
          <w:rFonts w:ascii="Times New Roman" w:hAnsi="Times New Roman"/>
          <w:b/>
          <w:sz w:val="26"/>
        </w:rPr>
        <w:t>BUSCO Locus Selection and Stevens Element Mapping</w:t>
      </w:r>
    </w:p>
    <w:p>
      <w:pPr>
        <w:spacing w:after="120"/>
        <w:ind w:firstLine="720"/>
      </w:pPr>
      <w:r>
        <w:rPr>
          <w:rFonts w:ascii="Times New Roman" w:hAnsi="Times New Roman"/>
          <w:sz w:val="22"/>
        </w:rPr>
        <w:t>To obtain a set of nuclear protein-coding loci with known chromosomal positions for both phylogenetic inference and downstream discordance analyses, we mapped all 1,367 BUSCO insecta_odb10 proteins (Manni et al. 2021) to the Tribolium castaneum reference genome. Each protein was searched against the T. castaneum Tcas5.2 assembly using tBLASTn (BLAST+ v2.14.0; Camacho et al. 2009) with an E-value threshold of 1e−5, retaining the best hit with ≥100 amino acid alignment length and ≥30% identity. Of the 1,367 BUSCO genes, 1,286 were confidently placed on Tribolium chromosomes.</w:t>
      </w:r>
    </w:p>
    <w:p>
      <w:pPr>
        <w:spacing w:after="120"/>
        <w:ind w:firstLine="720"/>
      </w:pPr>
      <w:r>
        <w:rPr>
          <w:rFonts w:ascii="Times New Roman" w:hAnsi="Times New Roman"/>
          <w:sz w:val="22"/>
        </w:rPr>
        <w:t>Each locus was assigned to one of the nine ancestral Stevens elements (A–H, X) following the nomenclature of Bracewell et al. (2024), who identified these conserved ancestral chromosome units across 12 beetle genomes. The Stevens element framework is analogous to the Merian element system in Lepidoptera (Wright et al. 2024) and the Muller element system in Drosophila (Muller 1940). Tribolium linkage groups were mapped to Stevens elements by BLASTn alignment of Tcas5.2 linkage group sequences against the chromosome-level icTriCast1.1 assembly, establishing the correspondence between Tcas5.2 linkage groups and icTriCast1.1 chromosomes, which carry direct Stevens element annotations.</w:t>
      </w:r>
    </w:p>
    <w:p>
      <w:pPr>
        <w:spacing w:after="120"/>
        <w:ind w:firstLine="720"/>
      </w:pPr>
      <w:r>
        <w:rPr>
          <w:rFonts w:ascii="Times New Roman" w:hAnsi="Times New Roman"/>
          <w:sz w:val="22"/>
        </w:rPr>
        <w:t>Locus-by-locus element counts were: Element A (n = 188), Element B (n = 172), Element C (n = 149), Element D (n = 180), Element E (n = 141), Element F (n = 115), Element G (n = 126), Element H (n = 76), and Element X (n = 66), totaling 1,213 loci with unambiguous element assignments. The remaining 73 loci mapped to scaffold fragments not assigned to linkage groups or fell in regions of ambiguous element identity.</w:t>
      </w:r>
    </w:p>
    <w:p>
      <w:pPr>
        <w:spacing w:before="240" w:after="120"/>
      </w:pPr>
      <w:r>
        <w:rPr>
          <w:rFonts w:ascii="Times New Roman" w:hAnsi="Times New Roman"/>
          <w:b/>
          <w:sz w:val="26"/>
        </w:rPr>
        <w:t>Per-Gene Homology Search and Alignment</w:t>
      </w:r>
    </w:p>
    <w:p>
      <w:pPr>
        <w:spacing w:after="120"/>
        <w:ind w:firstLine="720"/>
      </w:pPr>
      <w:r>
        <w:rPr>
          <w:rFonts w:ascii="Times New Roman" w:hAnsi="Times New Roman"/>
          <w:sz w:val="22"/>
        </w:rPr>
        <w:t>For each of the 1,286 selected BUSCO loci, protein sequences were searched against all 478 genome assemblies using tBLASTn (BLAST+ v2.14.0; Camacho et al. 2009) with an E-value threshold of 1e−5. Hits were filtered to retain those with ≥100 amino acid alignment length and ≥30% protein identity. For each locus, the best-scoring hit per genome was retained, yielding per-gene FASTA files containing protein sequences from all taxa with detectable homologs. Loci with fewer than 50 taxa were excluded from downstream phylogenetic analyses; two loci fell below this threshold and were discarded, leaving 1,284 loci for gene tree inference.</w:t>
      </w:r>
    </w:p>
    <w:p>
      <w:pPr>
        <w:spacing w:after="120"/>
        <w:ind w:firstLine="720"/>
      </w:pPr>
      <w:r>
        <w:rPr>
          <w:rFonts w:ascii="Times New Roman" w:hAnsi="Times New Roman"/>
          <w:sz w:val="22"/>
        </w:rPr>
        <w:t>Per-gene protein alignments were generated using MAFFT v7.520 (Katoh &amp; Standley 2013) with the "--auto" strategy. Alignments were computed on the TAMU Grace HPC cluster as SLURM array jobs, with each locus processed as an independent task.</w:t>
      </w:r>
    </w:p>
    <w:p>
      <w:pPr>
        <w:spacing w:before="240" w:after="120"/>
      </w:pPr>
      <w:r>
        <w:rPr>
          <w:rFonts w:ascii="Times New Roman" w:hAnsi="Times New Roman"/>
          <w:b/>
          <w:sz w:val="26"/>
        </w:rPr>
        <w:t>Gene Tree Inference</w:t>
      </w:r>
    </w:p>
    <w:p>
      <w:pPr>
        <w:spacing w:after="120"/>
        <w:ind w:firstLine="720"/>
      </w:pPr>
      <w:r>
        <w:rPr>
          <w:rFonts w:ascii="Times New Roman" w:hAnsi="Times New Roman"/>
          <w:sz w:val="22"/>
        </w:rPr>
        <w:t>Individual gene trees were inferred for each of the 1,284 aligned loci using IQ-TREE v2.3.6 (Minh et al. 2020) with automatic model selection via ModelFinder (Kalyaanamoorthy et al. 2017) and 1,000 ultrafast bootstrap replicates (Hoang et al. 2018). Each gene tree was inferred as an independent SLURM array task using 4 CPU cores per locus.</w:t>
      </w:r>
    </w:p>
    <w:p>
      <w:pPr>
        <w:spacing w:before="240" w:after="120"/>
      </w:pPr>
      <w:r>
        <w:rPr>
          <w:rFonts w:ascii="Times New Roman" w:hAnsi="Times New Roman"/>
          <w:b/>
          <w:sz w:val="26"/>
        </w:rPr>
        <w:t>Supermatrix Construction</w:t>
      </w:r>
    </w:p>
    <w:p>
      <w:pPr>
        <w:spacing w:after="120"/>
        <w:ind w:firstLine="720"/>
      </w:pPr>
      <w:r>
        <w:rPr>
          <w:rFonts w:ascii="Times New Roman" w:hAnsi="Times New Roman"/>
          <w:sz w:val="22"/>
        </w:rPr>
        <w:t>Per-gene protein alignments for all 1,286 loci (including the two low-taxon loci excluded from gene tree inference) were concatenated into a supermatrix. For each taxon absent from a given locus, the alignment was padded with gap characters to maintain positional homology. The resulting supermatrix comprised 478 taxa and 1,577,516 aligned amino acid positions. A corresponding partitions file recorded the name and column range of each of the 1,286 constituent loci. The supermatrix was constructed using a custom Python 3.6-compatible script executed on the TAMU Grace HPC cluster.</w:t>
      </w:r>
    </w:p>
    <w:p>
      <w:pPr>
        <w:spacing w:before="240" w:after="120"/>
      </w:pPr>
      <w:r>
        <w:rPr>
          <w:rFonts w:ascii="Times New Roman" w:hAnsi="Times New Roman"/>
          <w:b/>
          <w:sz w:val="26"/>
        </w:rPr>
        <w:t>Species Tree Inference</w:t>
      </w:r>
    </w:p>
    <w:p>
      <w:pPr>
        <w:spacing w:after="120"/>
        <w:ind w:firstLine="720"/>
      </w:pPr>
      <w:r>
        <w:rPr>
          <w:rFonts w:ascii="Times New Roman" w:hAnsi="Times New Roman"/>
          <w:sz w:val="22"/>
        </w:rPr>
        <w:t>The species tree was estimated using two complementary approaches: a multi-locus coalescent method and a concatenated maximum-likelihood analysis.</w:t>
      </w:r>
    </w:p>
    <w:p>
      <w:pPr>
        <w:spacing w:after="120"/>
        <w:ind w:firstLine="720"/>
      </w:pPr>
      <w:r>
        <w:rPr>
          <w:rFonts w:ascii="Times New Roman" w:hAnsi="Times New Roman"/>
          <w:sz w:val="22"/>
        </w:rPr>
        <w:t>Coalescent species tree. Prior to coalescent analysis, poorly supported branches in individual gene trees (ultrafast bootstrap support &lt; 10%) were collapsed to polytomies to prevent stochastic noise from driving quartet optimization. The species tree was estimated from the 1,284 contracted gene trees using weighted ASTRAL (wASTRAL), implemented in the ASTER package v1.20.4 (Zhang &amp; Mirarab 2022). wASTRAL weights quartets by both branch lengths and support values, providing greater robustness to gene tree estimation error than unweighted ASTRAL-III, which is critical when individual BUSCO loci contain limited phylogenetic signal for deep divergences. The resulting unrooted tree was rooted on 17 Neuropterida outgroup taxa using DendroPy v5.0.1 (Sukumaran &amp; Holder 2010).</w:t>
      </w:r>
    </w:p>
    <w:p>
      <w:pPr>
        <w:spacing w:after="120"/>
        <w:ind w:firstLine="720"/>
      </w:pPr>
      <w:r>
        <w:rPr>
          <w:rFonts w:ascii="Times New Roman" w:hAnsi="Times New Roman"/>
          <w:sz w:val="22"/>
        </w:rPr>
        <w:t>Concatenated maximum-likelihood tree. As a concordance check, a maximum-likelihood tree was inferred from the concatenated supermatrix (478 taxa × 1,577,516 amino acid sites) using IQ-TREE v2.3.6 (Minh et al. 2020) with the LG+G4 substitution model (Le &amp; Gascuel 2008) and 1,000 ultrafast bootstrap replicates. Site-heterogeneous profile mixture models (LG+C20, LG+C60; Le et al. 2008a, 2008b; Quang et al. 2008), which use 20–60 empirical amino acid frequency profiles to account for across-site compositional heterogeneity, were evaluated but exceeded the memory capacity of available compute nodes (750 GB to 3 TB) for a dataset of this size. Because the concatenated analysis serves as a concordance check against the coalescent species tree rather than as the primary topology estimate, the simpler LG+G4 model is appropriate; topological agreement between LG+G4 concatenation and the coalescent method provides strong evidence for a clade, while disagreement highlights nodes where model sensitivity or gene tree conflict may be important.</w:t>
      </w:r>
    </w:p>
    <w:p>
      <w:pPr>
        <w:spacing w:before="240" w:after="120"/>
      </w:pPr>
      <w:r>
        <w:rPr>
          <w:rFonts w:ascii="Times New Roman" w:hAnsi="Times New Roman"/>
          <w:b/>
          <w:sz w:val="26"/>
        </w:rPr>
        <w:t>Concordance Factor Analysis</w:t>
      </w:r>
    </w:p>
    <w:p>
      <w:pPr>
        <w:spacing w:after="120"/>
        <w:ind w:firstLine="720"/>
      </w:pPr>
      <w:r>
        <w:rPr>
          <w:rFonts w:ascii="Times New Roman" w:hAnsi="Times New Roman"/>
          <w:sz w:val="22"/>
        </w:rPr>
        <w:t>To quantify phylogenomic support beyond bootstrap values, we computed gene concordance factors (gCF) and likelihood-based site concordance factors (sCF) for each branch of the wASTRAL species tree using IQ-TREE v2.3.6 (Minh et al. 2020). Gene concordance factors measure the proportion of individual gene trees that contain a given bipartition (Minh, Hahn &amp; Lanfear 2020). Likelihood-based site concordance factors measure the proportion of decisive alignment sites supporting each branch, computed using a quartet likelihood approach with 100 random quartets per branch (--scfl 100; Minh, Hahn &amp; Lanfear 2020; Mo et al. 2023) under the LG+G4 model. For each branch, we additionally computed the two gene discordance fractions (gDF1 and gDF2), which quantify the proportion of gene trees supporting each of the two alternative NNI topologies at that branch. Symmetry between gDF1 and gDF2 is expected under incomplete lineage sorting, while asymmetry may indicate introgression or systematic model violation (Lanfear, Hahn &amp; Minh 2024). To test for introgression, we identified branches with strongly asymmetric discordance, defined as |gDF1 − gDF2| &gt; 10 percentage points and a ratio &gt; 2× among branches with &gt; 100 decisive gene trees. The gCF and sCF analyses were performed as separate IQ-TREE runs, as the --gcf and --scfl flags cannot be combined in a single invocation in IQ-TREE v2.3.6.</w:t>
      </w:r>
    </w:p>
    <w:p>
      <w:pPr>
        <w:spacing w:before="240" w:after="120"/>
      </w:pPr>
      <w:r>
        <w:rPr>
          <w:rFonts w:ascii="Times New Roman" w:hAnsi="Times New Roman"/>
          <w:b/>
          <w:sz w:val="26"/>
        </w:rPr>
        <w:t>Gene Tree Discordance Across Stevens Elements</w:t>
      </w:r>
    </w:p>
    <w:p>
      <w:pPr>
        <w:spacing w:after="120"/>
        <w:ind w:firstLine="720"/>
      </w:pPr>
      <w:r>
        <w:rPr>
          <w:rFonts w:ascii="Times New Roman" w:hAnsi="Times New Roman"/>
          <w:sz w:val="22"/>
        </w:rPr>
        <w:t>To test whether gene tree discordance varies across ancestral chromosomal elements, gene trees were partitioned by the Stevens element assignment of each locus. For each element, we computed the normalized Robinson-Foulds distance (Robinson &amp; Foulds 1981) between each gene tree and the wASTRAL species tree using the phangorn package v2.11.1 (Schliep 2011) in R v4.4.2 (R Core Team 2024). Variation in discordance across the nine Stevens elements was assessed using a Kruskal-Wallis rank sum test, with pairwise Wilcoxon rank sum tests for post-hoc comparisons. Discordance was also plotted along the physical coordinates of each Tribolium chromosome using loess smoothing to identify potential hotspots of elevated phylogenomic conflict.</w:t>
      </w:r>
    </w:p>
    <w:p>
      <w:pPr>
        <w:spacing w:before="240" w:after="120"/>
      </w:pPr>
      <w:r>
        <w:rPr>
          <w:rFonts w:ascii="Times New Roman" w:hAnsi="Times New Roman"/>
          <w:b/>
          <w:sz w:val="26"/>
        </w:rPr>
        <w:t>Quartet Topology Analysis at Contested Nodes</w:t>
      </w:r>
    </w:p>
    <w:p>
      <w:pPr>
        <w:spacing w:after="120"/>
        <w:ind w:firstLine="720"/>
      </w:pPr>
      <w:r>
        <w:rPr>
          <w:rFonts w:ascii="Times New Roman" w:hAnsi="Times New Roman"/>
          <w:sz w:val="22"/>
        </w:rPr>
        <w:t>To evaluate support for competing phylogenetic hypotheses at five contested nodes in beetle phylogenetics, we performed quartet topology scoring across gene trees. For each contested node, we defined the four relevant taxonomic groups and sampled five replicate quartets (one taxon per group per replicate) from each gene tree. Each quartet was scored against three possible unrooted topologies using Robinson-Foulds distance, with the closest topology assigned as the vote for that replicate. The majority-vote topology across the five replicates was recorded for each gene. The five contested nodes examined were:</w:t>
      </w:r>
    </w:p>
    <w:p>
      <w:pPr>
        <w:spacing w:after="120"/>
        <w:ind w:firstLine="720"/>
      </w:pPr>
      <w:r>
        <w:rPr>
          <w:rFonts w:ascii="Times New Roman" w:hAnsi="Times New Roman"/>
          <w:sz w:val="22"/>
        </w:rPr>
        <w:t>1. Polyphaga backbone (Series-level relationships): Cucujiformia, Elateriformia, Scarabaeiformia, and Staphyliniformia. Three topologies tested: T1 "Haplogastra" (Cucujiformia + Elateriformia | Scarabaeiformia + Staphyliniformia), T2 (Cucujiformia + Scarabaeiformia | Elateriformia + Staphyliniformia), T3 (Cucujiformia + Staphyliniformia | Elateriformia + Scarabaeiformia).</w:t>
      </w:r>
    </w:p>
    <w:p>
      <w:pPr>
        <w:spacing w:after="120"/>
        <w:ind w:firstLine="720"/>
      </w:pPr>
      <w:r>
        <w:rPr>
          <w:rFonts w:ascii="Times New Roman" w:hAnsi="Times New Roman"/>
          <w:sz w:val="22"/>
        </w:rPr>
        <w:t>2. Buprestoidea placement within Elateriformia: rooted quartet with Cucujiformia outgroup testing whether Buprestoidea is sister to Elateroidea, to Cantharidae, or to Elateridae.</w:t>
      </w:r>
    </w:p>
    <w:p>
      <w:pPr>
        <w:spacing w:after="120"/>
        <w:ind w:firstLine="720"/>
      </w:pPr>
      <w:r>
        <w:rPr>
          <w:rFonts w:ascii="Times New Roman" w:hAnsi="Times New Roman"/>
          <w:sz w:val="22"/>
        </w:rPr>
        <w:t>3. Lampyridae–Elateridae relationship: whether fireflies (Lampyridae) are nested within click beetles (Elateridae), sister to all Elateridae, or sister to a deep Elateridae subclade.</w:t>
      </w:r>
    </w:p>
    <w:p>
      <w:pPr>
        <w:spacing w:after="120"/>
        <w:ind w:firstLine="720"/>
      </w:pPr>
      <w:r>
        <w:rPr>
          <w:rFonts w:ascii="Times New Roman" w:hAnsi="Times New Roman"/>
          <w:sz w:val="22"/>
        </w:rPr>
        <w:t>4. Silphidae–Staphylinidae relationship: whether carrion beetles (Silphidae) are nested within rove beetles (Staphylinidae), sister to all Staphylinidae, or sister to Staphylininae.</w:t>
      </w:r>
    </w:p>
    <w:p>
      <w:pPr>
        <w:spacing w:after="120"/>
        <w:ind w:firstLine="720"/>
      </w:pPr>
      <w:r>
        <w:rPr>
          <w:rFonts w:ascii="Times New Roman" w:hAnsi="Times New Roman"/>
          <w:sz w:val="22"/>
        </w:rPr>
        <w:t>5. Lucanidae–Scarabaeidae relationship: whether stag beetles (Lucanidae) are sister to Scarabaeidae (traditional Scarabaeoidea), sister to Scarabaeinae, or nested within Scarabaeidae.</w:t>
      </w:r>
    </w:p>
    <w:p>
      <w:pPr>
        <w:spacing w:after="120"/>
        <w:ind w:firstLine="720"/>
      </w:pPr>
      <w:r>
        <w:rPr>
          <w:rFonts w:ascii="Times New Roman" w:hAnsi="Times New Roman"/>
          <w:sz w:val="22"/>
        </w:rPr>
        <w:t>Quartet topology proportions were summarized both globally and per Stevens element. To visualize how phylogenetic signal varies along the genome, we computed sliding-window topology proportions (20 Mb windows) along the concatenated Tribolium chromosomal coordinates, with loess smoothing applied to each topology’s proportion. All quartet analyses were performed using custom R scripts with the ape package v5.7-1 (Paradis &amp; Schliep 2019) and phangorn package v2.11.1 (Schliep 2011).</w:t>
      </w:r>
    </w:p>
    <w:p>
      <w:pPr>
        <w:spacing w:before="240" w:after="120"/>
      </w:pPr>
      <w:r>
        <w:rPr>
          <w:rFonts w:ascii="Times New Roman" w:hAnsi="Times New Roman"/>
          <w:b/>
          <w:sz w:val="26"/>
        </w:rPr>
        <w:t>Whole-Genome Alignment</w:t>
      </w:r>
    </w:p>
    <w:p>
      <w:pPr>
        <w:spacing w:after="120"/>
        <w:ind w:firstLine="720"/>
      </w:pPr>
      <w:r>
        <w:rPr>
          <w:rFonts w:ascii="Times New Roman" w:hAnsi="Times New Roman"/>
          <w:sz w:val="22"/>
        </w:rPr>
        <w:t>Genome assemblies for all 466 quality-approved taxa were aligned using Progressive Cactus v2.9.3 (Armstrong et al. 2020), executed as a Singularity container on the TAMU Grace HPC cluster. Progressive Cactus constructs a hierarchical multiple genome alignment guided by a phylogenetic tree, using a decomposition strategy that breaks the alignment into independent sub-problems corresponding to ancestral nodes in the guide tree.</w:t>
      </w:r>
    </w:p>
    <w:p>
      <w:pPr>
        <w:spacing w:after="120"/>
        <w:ind w:firstLine="720"/>
      </w:pPr>
      <w:r>
        <w:rPr>
          <w:rFonts w:ascii="Times New Roman" w:hAnsi="Times New Roman"/>
          <w:sz w:val="22"/>
        </w:rPr>
        <w:t>The 466-genome alignment was decomposed into 465 sub-problems across 33 tree-depth levels using cactus-prepare (Armstrong et al. 2020). Genome preprocessing (repeat masking with RedMask) was parallelized across 15 batch jobs, producing masked genomes totaling 297 GB. At each tree level, pairwise BLAST and alignment steps were submitted as independent SLURM array tasks. Level 1 (145 leaf-pair alignments) used 8 CPU cores and 96 GB RAM per task on the long partition (7-day wall time), with array throttling (3 concurrent tasks) to manage filesystem inode usage. Higher tree levels (L2–L33) progressively merge sub-alignments, with deeper levels requiring longer wall times but fewer concurrent jobs.</w:t>
      </w:r>
    </w:p>
    <w:p>
      <w:pPr>
        <w:spacing w:after="120"/>
        <w:ind w:firstLine="720"/>
      </w:pPr>
      <w:r>
        <w:rPr>
          <w:rFonts w:ascii="Times New Roman" w:hAnsi="Times New Roman"/>
          <w:sz w:val="22"/>
        </w:rPr>
        <w:t>Quality control was performed between tree levels. For the 145 Level 1 sub-alignments, we verified: (1) alignment coverage of 52–70% of child genomes at 1× depth (expected for congeneric beetle pairs), (2) ancestor genome sizes of 133–159 Mb (52–74% of the smaller child genome, consistent with transposable element collapse), (3) multi-mapping rates below 3% at 2×+ depth (indicating clean 1:1 orthology), and (4) fragmentation of 122–220 ancestor scaffolds with 20–40 major scaffolds (&gt;1 Mb) carrying the bulk of aligned sequence. The final output is a HAL-format hierarchical alignment file (Hickey et al. 2013) enabling arbitrary pairwise genome comparisons and ancestral reconstruction.</w:t>
      </w:r>
    </w:p>
    <w:p>
      <w:pPr>
        <w:spacing w:before="240" w:after="120"/>
      </w:pPr>
      <w:r>
        <w:rPr>
          <w:rFonts w:ascii="Times New Roman" w:hAnsi="Times New Roman"/>
          <w:b/>
          <w:sz w:val="26"/>
        </w:rPr>
        <w:t>RNA-seq Data Acquisition</w:t>
      </w:r>
    </w:p>
    <w:p>
      <w:pPr>
        <w:spacing w:after="120"/>
        <w:ind w:firstLine="720"/>
      </w:pPr>
      <w:r>
        <w:rPr>
          <w:rFonts w:ascii="Times New Roman" w:hAnsi="Times New Roman"/>
          <w:sz w:val="22"/>
        </w:rPr>
        <w:t>To enable future analyses of sex-biased gene expression and sex chromosome dosage, we surveyed the NCBI Sequence Read Archive (SRA) for RNA-seq data across all 478 species in the dataset. Using the NCBI Entrez E-utilities (Sayers et al. 2022), we queried SRA for each species with the search term “[Organism] AND RNA-Seq[Strategy]” and parsed experiment metadata from the returned XML, including sample sex, tissue type, sequencing platform, library layout (paired-end vs. single-end), and spot count.</w:t>
      </w:r>
    </w:p>
    <w:p>
      <w:pPr>
        <w:spacing w:after="120"/>
        <w:ind w:firstLine="720"/>
      </w:pPr>
      <w:r>
        <w:rPr>
          <w:rFonts w:ascii="Times New Roman" w:hAnsi="Times New Roman"/>
          <w:sz w:val="22"/>
        </w:rPr>
        <w:t>Of 439 ingroup and outgroup species surveyed, 272 (62%) had at least one RNA-seq dataset in SRA. We identified 53 species with both male and female RNA-seq runs, 13 with male-only data, and 34 with female-only data. For species with both sexes, we applied a tiered selection algorithm to identify the most informative runs for differential expression analysis. All candidates were required to be Illumina platform, have known sex annotation, and have ≥5 million spots (relaxed to ≥2 million for species that would otherwise be excluded).</w:t>
      </w:r>
    </w:p>
    <w:p>
      <w:pPr>
        <w:spacing w:after="120"/>
        <w:ind w:firstLine="720"/>
      </w:pPr>
      <w:r>
        <w:rPr>
          <w:rFonts w:ascii="Times New Roman" w:hAnsi="Times New Roman"/>
          <w:sz w:val="22"/>
        </w:rPr>
        <w:t>Tissue selection followed a priority hierarchy designed to maximize comparability between sexes while minimizing tissue-specific expression confounds. Tier 1 selected whole-body samples when available for both sexes, as these capture expression across all tissues and provide the least biased estimate of autosomal versus X-linked dosage. Tier 2 selected the tissue with the greatest number of replicates per sex (≥2 male + ≥2 female), preferring tissues present in both sexes to control for tissue-specific expression differences. Tier 3 relaxed the replicate requirement to ≥1 male + ≥1 female for any matched tissue. Tier 4 accepted runs with unspecified tissue as a last resort. Within each tier, paired-end libraries were preferred over single-end, and runs were ranked by spot count descending, retaining up to three biological replicates per sex per species. Tissue names from SRA metadata were normalized to canonical categories (whole body, head, antenna, abdomen, fat body, gonad, thorax, other) using pattern matching to handle the extensive variation in SRA annotation conventions.</w:t>
      </w:r>
    </w:p>
    <w:p>
      <w:pPr>
        <w:spacing w:after="120"/>
        <w:ind w:firstLine="720"/>
      </w:pPr>
      <w:r>
        <w:rPr>
          <w:rFonts w:ascii="Times New Roman" w:hAnsi="Times New Roman"/>
          <w:sz w:val="22"/>
        </w:rPr>
        <w:t>For single-sex species (male-only or female-only RNA-seq), we required ≥2 Illumina runs with ≥5 million spots. These species provide autosomal expression baselines for cross-species comparison: because autosomal genes should show consistent expression regardless of whether the species has separate sexes or only one sex sampled, single-sex species serve as controls for distinguishing true sex-biased expression from species-specific expression differences. The final selection comprised 297 runs across 65 species (50 with both sexes, 4 male-only, 11 female-only), representing an estimated 832 GB of compressed FASTQ data. FASTQ files were downloaded from the European Nucleotide Archive (ENA) via HTTPS, which provides direct FASTQ access without requiring the SRA Toolkit.</w:t>
      </w:r>
    </w:p>
    <w:p>
      <w:pPr>
        <w:spacing w:before="240" w:after="120"/>
      </w:pPr>
      <w:r>
        <w:rPr>
          <w:rFonts w:ascii="Times New Roman" w:hAnsi="Times New Roman"/>
          <w:b/>
          <w:sz w:val="26"/>
        </w:rPr>
        <w:t>Ancestral Linkage Group Assignment</w:t>
      </w:r>
    </w:p>
    <w:p>
      <w:pPr>
        <w:spacing w:after="120"/>
        <w:ind w:firstLine="720"/>
      </w:pPr>
      <w:r>
        <w:rPr>
          <w:rFonts w:ascii="Times New Roman" w:hAnsi="Times New Roman"/>
          <w:sz w:val="22"/>
        </w:rPr>
        <w:t>Ancestral linkage groups (Stevens elements) were assigned following the nomenclature of Bracewell et al. (2024), who identified nine conserved ancestral chromosome units across 12 beetle genomes. We validated and extended these assignments across our 466-genome dataset by identifying conserved syntenic blocks between each genome and the Tribolium castaneum reference (Tcas5.2) using the HAL alignment. Gene-based synteny was defined using one-to-one ortholog assignments from the Cactus alignment, with syntenic blocks required to contain ≥10 consecutive orthologous genes with conserved order and orientation. This approach is directly analogous to the Merian element framework developed for Lepidoptera (Wright et al. 2024), which identified 32 ancestral linkage groups across 210 butterfly and moth genomes.</w:t>
      </w:r>
    </w:p>
    <w:p>
      <w:pPr>
        <w:spacing w:before="240" w:after="120"/>
      </w:pPr>
      <w:r>
        <w:rPr>
          <w:rFonts w:ascii="Times New Roman" w:hAnsi="Times New Roman"/>
          <w:b/>
          <w:sz w:val="26"/>
        </w:rPr>
        <w:t>Rearrangement Classification and Rate Estimation</w:t>
      </w:r>
    </w:p>
    <w:p>
      <w:pPr>
        <w:spacing w:after="120"/>
        <w:ind w:firstLine="720"/>
      </w:pPr>
      <w:r>
        <w:rPr>
          <w:rFonts w:ascii="Times New Roman" w:hAnsi="Times New Roman"/>
          <w:sz w:val="22"/>
        </w:rPr>
        <w:t>Chromosomal rearrangements were classified as inversions, fusions, fissions, or translocations by comparing syntenic block arrangements between adjacent ancestral and descendant karyotypes along each branch of the species tree. Rearrangement events were mapped to specific phylogenetic branches using parsimony, with ambiguous placements resolved by maximum likelihood under a model of equal rates for all rearrangement types.</w:t>
      </w:r>
    </w:p>
    <w:p>
      <w:pPr>
        <w:spacing w:after="120"/>
        <w:ind w:firstLine="720"/>
      </w:pPr>
      <w:r>
        <w:rPr>
          <w:rFonts w:ascii="Times New Roman" w:hAnsi="Times New Roman"/>
          <w:sz w:val="22"/>
        </w:rPr>
        <w:t>Branch-specific rearrangement rates were calculated as the number of rearrangement events per million years (events/My), using divergence time estimates from McKenna et al. (2019) and TimeTree 5 (Kumar et al. 2022). Rate heterogeneity across the phylogeny was tested using a likelihood ratio test comparing a model with a single rate for all branches to a model allowing rate variation.</w:t>
      </w:r>
    </w:p>
    <w:p>
      <w:pPr>
        <w:spacing w:before="240" w:after="120"/>
      </w:pPr>
      <w:r>
        <w:rPr>
          <w:rFonts w:ascii="Times New Roman" w:hAnsi="Times New Roman"/>
          <w:b/>
          <w:sz w:val="26"/>
        </w:rPr>
        <w:t>Cross-Validation with Cytogenetic Data</w:t>
      </w:r>
    </w:p>
    <w:p>
      <w:pPr>
        <w:spacing w:after="120"/>
        <w:ind w:firstLine="720"/>
      </w:pPr>
      <w:r>
        <w:rPr>
          <w:rFonts w:ascii="Times New Roman" w:hAnsi="Times New Roman"/>
          <w:sz w:val="22"/>
        </w:rPr>
        <w:t>Genome-inferred chromosome numbers and karyotype structures were cross-validated against the published cytogenetic literature using the Blackmon lab chromosome number database (Blackmon &amp; Demuth 2014; Blackmon et al. 2016), which contains karyotype records for over 4,700 beetle species. For species with both genomic and cytogenetic data, we compared inferred and observed haploid chromosome numbers (n) and evaluated whether genome-inferred Stevens element fusions and fissions were consistent with observed karyotypic variation.</w:t>
      </w:r>
    </w:p>
    <w:p>
      <w:pPr>
        <w:spacing w:before="240" w:after="120"/>
      </w:pPr>
      <w:r>
        <w:rPr>
          <w:rFonts w:ascii="Times New Roman" w:hAnsi="Times New Roman"/>
          <w:b/>
          <w:sz w:val="26"/>
        </w:rPr>
        <w:t>Computational Resources</w:t>
      </w:r>
    </w:p>
    <w:p>
      <w:pPr>
        <w:spacing w:after="120"/>
        <w:ind w:firstLine="720"/>
      </w:pPr>
      <w:r>
        <w:rPr>
          <w:rFonts w:ascii="Times New Roman" w:hAnsi="Times New Roman"/>
          <w:sz w:val="22"/>
        </w:rPr>
        <w:t>All computations were performed on the Texas A&amp;M University Grace High Performance Computing cluster, managed by the High Performance Research Computing (HPRC) group. Grace comprises 925 compute nodes with 44,656 total cores (Intel Xeon Ice Lake and Cascade Lake processors), 925 NVIDIA GPUs, and a Lustre parallel filesystem providing 8.1 PB of high-performance scratch storage. Nodes are connected via HDR-100 InfiniBand (100 Gb/s) with a fat-tree topology. Jobs were scheduled via SLURM across five partitions: short (2 h wall time), medium (1 day), long (7 days), xlong (21 days), and bigmem (2 days, 3 TB RAM nodes).</w:t>
      </w:r>
    </w:p>
    <w:p>
      <w:pPr>
        <w:spacing w:after="120"/>
        <w:ind w:firstLine="720"/>
      </w:pPr>
      <w:r>
        <w:rPr>
          <w:rFonts w:ascii="Times New Roman" w:hAnsi="Times New Roman"/>
          <w:sz w:val="22"/>
        </w:rPr>
        <w:t>Gene tree inference (1,284 loci) and MAFFT alignment were run as SLURM array jobs on standard compute nodes (4 cores, 16 GB RAM per task). The concatenated IQ-TREE analysis under the LG+C60+F+R mixture model and likelihood-based site concordance factor computation each required approximately 680 GB of RAM and were executed on 3 TB high-memory nodes in the bigmem partition. Progressive Cactus v2.9.3 was executed as a Singularity container (cactus_v2.9.3.sif) with level-specific resource allocations: Level 1 leaf-pair alignments used 8 cores and 96 GB RAM on the long partition (7-day wall time); deeper levels used progressively more resources with longer wall times. Genome preprocessing (repeat masking with RedMask) was parallelized across 15 batch jobs. SLURM array throttling (3–5 concurrent tasks per level) was used to manage Lustre filesystem inode pressure. RNA-seq FASTQ downloads (832 GB estimated) were performed on the login node via direct HTTPS from the European Nucleotide Archive, as compute nodes lack internet access. All custom scripts are available at [GitHub URL].</w:t>
      </w:r>
    </w:p>
    <w:p>
      <w:pPr>
        <w:spacing w:before="240" w:after="120"/>
      </w:pPr>
      <w:r>
        <w:rPr>
          <w:rFonts w:ascii="Times New Roman" w:hAnsi="Times New Roman"/>
          <w:b/>
          <w:sz w:val="26"/>
        </w:rPr>
        <w:t>Data Availability</w:t>
      </w:r>
    </w:p>
    <w:p>
      <w:pPr>
        <w:spacing w:after="120"/>
        <w:ind w:firstLine="720"/>
      </w:pPr>
      <w:r>
        <w:rPr>
          <w:rFonts w:ascii="Times New Roman" w:hAnsi="Times New Roman"/>
          <w:sz w:val="22"/>
        </w:rPr>
        <w:t>The genome catalog, quality-scored primary selections, guide phylogeny, HAL alignment file, supermatrix and partition files, gene trees, species tree with concordance factors, synteny block coordinates, rearrangement calls, ancestral karyotype reconstructions, and RNA-seq run selections are available at [repository URL]. All analysis scripts are available at [GitHub URL].</w:t>
      </w:r>
    </w:p>
    <w:p>
      <w:pPr>
        <w:spacing w:before="240" w:after="120"/>
      </w:pPr>
      <w:r>
        <w:rPr>
          <w:rFonts w:ascii="Times New Roman" w:hAnsi="Times New Roman"/>
          <w:b/>
          <w:sz w:val="26"/>
        </w:rPr>
        <w:t>References</w:t>
      </w:r>
    </w:p>
    <w:p>
      <w:pPr>
        <w:spacing w:after="60"/>
        <w:ind w:left="720" w:hanging="720"/>
      </w:pPr>
      <w:r>
        <w:rPr>
          <w:rFonts w:ascii="Times New Roman" w:hAnsi="Times New Roman"/>
          <w:sz w:val="20"/>
        </w:rPr>
        <w:t>Armstrong, J., Hickey, G., Diekhans, M., Fiddes, I. T., Novak, A. M., Deran, A., Fang, Q., Xie, D., Feng, S., Stiller, J., Genereux, D., Johnson, J., Marinescu, V. D., Alföldi, J., Harris, R. S., Lindblad-Toh, K., Haussler, D., Karlsson, E., Jarvis, E. D., Zhang, G., &amp; Paten, B. (2020). Progressive Cactus is a multiple-genome aligner for the thousand-genome era. Nature, 587(7833), 246–251. https://doi.org/10.1038/s41586-020-2871-y</w:t>
      </w:r>
    </w:p>
    <w:p>
      <w:pPr>
        <w:spacing w:after="60"/>
        <w:ind w:left="720" w:hanging="720"/>
      </w:pPr>
      <w:r>
        <w:rPr>
          <w:rFonts w:ascii="Times New Roman" w:hAnsi="Times New Roman"/>
          <w:sz w:val="20"/>
        </w:rPr>
        <w:t>Blackmon, H., &amp; Demuth, J. P. (2014). Estimating tempo and mode of Y chromosome turnover: explaining Y chromosome loss with the fragile Y hypothesis. Genetics, 197(2), 561–572. https://doi.org/10.1534/genetics.114.164269</w:t>
      </w:r>
    </w:p>
    <w:p>
      <w:pPr>
        <w:spacing w:after="60"/>
        <w:ind w:left="720" w:hanging="720"/>
      </w:pPr>
      <w:r>
        <w:rPr>
          <w:rFonts w:ascii="Times New Roman" w:hAnsi="Times New Roman"/>
          <w:sz w:val="20"/>
        </w:rPr>
        <w:t>Blackmon, H., Ross, L., &amp; Bachtrog, D. (2016). Sex determination, sex chromosomes, and karyotype evolution in insects. Journal of Heredity, 108(1), 78–93. https://doi.org/10.1093/jhered/esw047</w:t>
      </w:r>
    </w:p>
    <w:p>
      <w:pPr>
        <w:spacing w:after="60"/>
        <w:ind w:left="720" w:hanging="720"/>
      </w:pPr>
      <w:r>
        <w:rPr>
          <w:rFonts w:ascii="Times New Roman" w:hAnsi="Times New Roman"/>
          <w:sz w:val="20"/>
        </w:rPr>
        <w:t>Bracewell, R., Tran, A., Chatla, K., &amp; Bachtrog, D. (2024). Sex and neo-sex chromosome evolution in beetles. PLOS Genetics, 20(11), e1011477. https://doi.org/10.1371/journal.pgen.1011477</w:t>
      </w:r>
    </w:p>
    <w:p>
      <w:pPr>
        <w:spacing w:after="60"/>
        <w:ind w:left="720" w:hanging="720"/>
      </w:pPr>
      <w:r>
        <w:rPr>
          <w:rFonts w:ascii="Times New Roman" w:hAnsi="Times New Roman"/>
          <w:sz w:val="20"/>
        </w:rPr>
        <w:t>Camacho, C., Coulouris, G., Avagyan, V., Ma, N., Papadopoulos, J., Bealer, K., &amp; Madden, T. L. (2009). BLAST+: architecture and applications. BMC Bioinformatics, 10, 421. https://doi.org/10.1186/1471-2105-10-421</w:t>
      </w:r>
    </w:p>
    <w:p>
      <w:pPr>
        <w:spacing w:after="60"/>
        <w:ind w:left="720" w:hanging="720"/>
      </w:pPr>
      <w:r>
        <w:rPr>
          <w:rFonts w:ascii="Times New Roman" w:hAnsi="Times New Roman"/>
          <w:sz w:val="20"/>
        </w:rPr>
        <w:t>Hickey, G., Paten, B., Earl, D., Zerbino, D., &amp; Haussler, D. (2013). HAL: a hierarchical format for storing and analyzing multiple genome alignments. Bioinformatics, 29(10), 1341–1342. https://doi.org/10.1093/bioinformatics/btt128</w:t>
      </w:r>
    </w:p>
    <w:p>
      <w:pPr>
        <w:spacing w:after="60"/>
        <w:ind w:left="720" w:hanging="720"/>
      </w:pPr>
      <w:r>
        <w:rPr>
          <w:rFonts w:ascii="Times New Roman" w:hAnsi="Times New Roman"/>
          <w:sz w:val="20"/>
        </w:rPr>
        <w:t>Hoang, D. T., Chernomor, O., von Haeseler, A., Minh, B. Q., &amp; Vinh, L. S. (2018). UFBoot2: improving the ultrafast bootstrap approximation. Molecular Biology and Evolution, 35(2), 518–522. https://doi.org/10.1093/molbev/msx281</w:t>
      </w:r>
    </w:p>
    <w:p>
      <w:pPr>
        <w:spacing w:after="60"/>
        <w:ind w:left="720" w:hanging="720"/>
      </w:pPr>
      <w:r>
        <w:rPr>
          <w:rFonts w:ascii="Times New Roman" w:hAnsi="Times New Roman"/>
          <w:sz w:val="20"/>
        </w:rPr>
        <w:t>Kalyaanamoorthy, S., Minh, B. Q., Wong, T. K. F., von Haeseler, A., &amp; Jermiin, L. S. (2017). ModelFinder: fast model selection for accurate phylogenetic estimates. Nature Methods, 14(6), 587–589. https://doi.org/10.1038/nmeth.4285</w:t>
      </w:r>
    </w:p>
    <w:p>
      <w:pPr>
        <w:spacing w:after="60"/>
        <w:ind w:left="720" w:hanging="720"/>
      </w:pPr>
      <w:r>
        <w:rPr>
          <w:rFonts w:ascii="Times New Roman" w:hAnsi="Times New Roman"/>
          <w:sz w:val="20"/>
        </w:rPr>
        <w:t>Katoh, K., &amp; Standley, D. M. (2013). MAFFT multiple sequence alignment software version 7: improvements in performance and usability. Molecular Biology and Evolution, 30(4), 772–780. https://doi.org/10.1093/molbev/mst010</w:t>
      </w:r>
    </w:p>
    <w:p>
      <w:pPr>
        <w:spacing w:after="60"/>
        <w:ind w:left="720" w:hanging="720"/>
      </w:pPr>
      <w:r>
        <w:rPr>
          <w:rFonts w:ascii="Times New Roman" w:hAnsi="Times New Roman"/>
          <w:sz w:val="20"/>
        </w:rPr>
        <w:t>Kumar, S., Suleski, M., Craig, J. M., Kasprowicz, A. E., Sanderford, M., Li, M., Stecher, G., &amp; Hedges, S. B. (2022). TimeTree 5: an expanded resource for species divergence times. Molecular Biology and Evolution, 39(8), msac174. https://doi.org/10.1093/molbev/msac174</w:t>
      </w:r>
    </w:p>
    <w:p>
      <w:pPr>
        <w:spacing w:after="60"/>
        <w:ind w:left="720" w:hanging="720"/>
      </w:pPr>
      <w:r>
        <w:rPr>
          <w:rFonts w:ascii="Times New Roman" w:hAnsi="Times New Roman"/>
          <w:sz w:val="20"/>
        </w:rPr>
        <w:t>Lanfear, R., Hahn, M. W., &amp; Minh, B. Q. (2024). Concordance and discordance in phylogenomics. Annual Review of Ecology, Evolution, and Systematics, 55, 85–109.</w:t>
      </w:r>
    </w:p>
    <w:p>
      <w:pPr>
        <w:spacing w:after="60"/>
        <w:ind w:left="720" w:hanging="720"/>
      </w:pPr>
      <w:r>
        <w:rPr>
          <w:rFonts w:ascii="Times New Roman" w:hAnsi="Times New Roman"/>
          <w:sz w:val="20"/>
        </w:rPr>
        <w:t>Lartillot, N., Brinkmann, H., &amp; Philippe, H. (2007). Suppression of long-branch attraction artefacts in the animal phylogeny using a site-heterogeneous model. BMC Evolutionary Biology, 7(Suppl 1), S4. https://doi.org/10.1186/1471-2148-7-S1-S4</w:t>
      </w:r>
    </w:p>
    <w:p>
      <w:pPr>
        <w:spacing w:after="60"/>
        <w:ind w:left="720" w:hanging="720"/>
      </w:pPr>
      <w:r>
        <w:rPr>
          <w:rFonts w:ascii="Times New Roman" w:hAnsi="Times New Roman"/>
          <w:sz w:val="20"/>
        </w:rPr>
        <w:t>Le, S. Q., Gascuel, O., &amp; Lartillot, N. (2008a). Empirical profile mixture models for phylogenetic reconstruction. Bioinformatics, 24(20), 2317–2323. https://doi.org/10.1093/bioinformatics/btn445</w:t>
      </w:r>
    </w:p>
    <w:p>
      <w:pPr>
        <w:spacing w:after="60"/>
        <w:ind w:left="720" w:hanging="720"/>
      </w:pPr>
      <w:r>
        <w:rPr>
          <w:rFonts w:ascii="Times New Roman" w:hAnsi="Times New Roman"/>
          <w:sz w:val="20"/>
        </w:rPr>
        <w:t>Le, S. Q., Lartillot, N., &amp; Gascuel, O. (2008b). Phylogenetic mixture models for proteins. Philosophical Transactions of the Royal Society B, 363(1512), 3965–3976. https://doi.org/10.1098/rstb.2008.0180</w:t>
      </w:r>
    </w:p>
    <w:p>
      <w:pPr>
        <w:spacing w:after="60"/>
        <w:ind w:left="720" w:hanging="720"/>
      </w:pPr>
      <w:r>
        <w:rPr>
          <w:rFonts w:ascii="Times New Roman" w:hAnsi="Times New Roman"/>
          <w:sz w:val="20"/>
        </w:rPr>
        <w:t>Manni, M., Berkeley, M. R., Seppey, M., Simão, F. A., &amp; Zdobnov, E. M. (2021). BUSCO update: novel and streamlined workflows along with broader and deeper phylogenetic coverage for scoring of eukaryotic, prokaryotic, and viral genomes. Molecular Biology and Evolution, 38(10), 4647–4654. https://doi.org/10.1093/molbev/msab199</w:t>
      </w:r>
    </w:p>
    <w:p>
      <w:pPr>
        <w:spacing w:after="60"/>
        <w:ind w:left="720" w:hanging="720"/>
      </w:pPr>
      <w:r>
        <w:rPr>
          <w:rFonts w:ascii="Times New Roman" w:hAnsi="Times New Roman"/>
          <w:sz w:val="20"/>
        </w:rPr>
        <w:t>McKenna, D. D., Shin, S., Ahrens, D., Balke, M., Beza-Beza, C., Clarke, D. J., Donath, A., Escalona, H. E., Friedrich, F., Letsch, H., Liu, S., Maddison, D., Mayer, C., Misof, B., Murin, P. J., Niehuis, O., Peters, R. S., Podsiadlowski, L., Pohl, H., Scully, E. D., Yan, E. V., Zhou, X., Ślipiński, A., &amp; Farrell, B. D. (2019). The evolution and genomic basis of beetle diversity. Proceedings of the National Academy of Sciences, 116(49), 24729–24737. https://doi.org/10.1073/pnas.1909655116</w:t>
      </w:r>
    </w:p>
    <w:p>
      <w:pPr>
        <w:spacing w:after="60"/>
        <w:ind w:left="720" w:hanging="720"/>
      </w:pPr>
      <w:r>
        <w:rPr>
          <w:rFonts w:ascii="Times New Roman" w:hAnsi="Times New Roman"/>
          <w:sz w:val="20"/>
        </w:rPr>
        <w:t>Minh, B. Q., Schmidt, H. A., Chernomor, O., Schrempf, D., Woodhams, M. D., von Haeseler, A., &amp; Lanfear, R. (2020). IQ-TREE 2: new models and efficient methods for phylogenetic inference in the genomic era. Molecular Biology and Evolution, 37(5), 1530–1534. https://doi.org/10.1093/molbev/msaa015</w:t>
      </w:r>
    </w:p>
    <w:p>
      <w:pPr>
        <w:spacing w:after="60"/>
        <w:ind w:left="720" w:hanging="720"/>
      </w:pPr>
      <w:r>
        <w:rPr>
          <w:rFonts w:ascii="Times New Roman" w:hAnsi="Times New Roman"/>
          <w:sz w:val="20"/>
        </w:rPr>
        <w:t>Minh, B. Q., Hahn, M. W., &amp; Lanfear, R. (2020). New methods to calculate concordance factors for phylogenomic datasets. Molecular Biology and Evolution, 37(9), 2727–2733. https://doi.org/10.1093/molbev/msaa106</w:t>
      </w:r>
    </w:p>
    <w:p>
      <w:pPr>
        <w:spacing w:after="60"/>
        <w:ind w:left="720" w:hanging="720"/>
      </w:pPr>
      <w:r>
        <w:rPr>
          <w:rFonts w:ascii="Times New Roman" w:hAnsi="Times New Roman"/>
          <w:sz w:val="20"/>
        </w:rPr>
        <w:t>Mo, Y. K., Lanfear, R., Hahn, M. W., &amp; Minh, B. Q. (2023). Updated site concordance factors minimize effects of homoplasy and taxon sampling. Bioinformatics, 39(1), btac741. https://doi.org/10.1093/bioinformatics/btac741</w:t>
      </w:r>
    </w:p>
    <w:p>
      <w:pPr>
        <w:spacing w:after="60"/>
        <w:ind w:left="720" w:hanging="720"/>
      </w:pPr>
      <w:r>
        <w:rPr>
          <w:rFonts w:ascii="Times New Roman" w:hAnsi="Times New Roman"/>
          <w:sz w:val="20"/>
        </w:rPr>
        <w:t>Muller, H. J. (1940). Bearings of the Drosophila work on systematics. In J. Huxley (Ed.), The New Systematics (pp. 185–268). Clarendon Press.</w:t>
      </w:r>
    </w:p>
    <w:p>
      <w:pPr>
        <w:spacing w:after="60"/>
        <w:ind w:left="720" w:hanging="720"/>
      </w:pPr>
      <w:r>
        <w:rPr>
          <w:rFonts w:ascii="Times New Roman" w:hAnsi="Times New Roman"/>
          <w:sz w:val="20"/>
        </w:rPr>
        <w:t>Paradis, E., &amp; Schliep, K. (2019). ape 5.0: an environment for modern phylogenetics and evolutionary analyses in R. Bioinformatics, 35(3), 526–528. https://doi.org/10.1093/bioinformatics/bty633</w:t>
      </w:r>
    </w:p>
    <w:p>
      <w:pPr>
        <w:spacing w:after="60"/>
        <w:ind w:left="720" w:hanging="720"/>
      </w:pPr>
      <w:r>
        <w:rPr>
          <w:rFonts w:ascii="Times New Roman" w:hAnsi="Times New Roman"/>
          <w:sz w:val="20"/>
        </w:rPr>
        <w:t>Price, M. N., Dehal, P. S., &amp; Arkin, A. P. (2010). FastTree 2—approximately maximum-likelihood trees for large alignments. PLOS ONE, 5(3), e9490. https://doi.org/10.1371/journal.pone.0009490</w:t>
      </w:r>
    </w:p>
    <w:p>
      <w:pPr>
        <w:spacing w:after="60"/>
        <w:ind w:left="720" w:hanging="720"/>
      </w:pPr>
      <w:r>
        <w:rPr>
          <w:rFonts w:ascii="Times New Roman" w:hAnsi="Times New Roman"/>
          <w:sz w:val="20"/>
        </w:rPr>
        <w:t>Quang, L. S., Gascuel, O., &amp; Lartillot, N. (2008). Empirical profile mixture models for phylogenetic reconstruction. Bioinformatics, 24(20), 2317–2323.</w:t>
      </w:r>
    </w:p>
    <w:p>
      <w:pPr>
        <w:spacing w:after="60"/>
        <w:ind w:left="720" w:hanging="720"/>
      </w:pPr>
      <w:r>
        <w:rPr>
          <w:rFonts w:ascii="Times New Roman" w:hAnsi="Times New Roman"/>
          <w:sz w:val="20"/>
        </w:rPr>
        <w:t>R Core Team. (2024). R: A language and environment for statistical computing. R Foundation for Statistical Computing, Vienna, Austria. https://www.R-project.org/</w:t>
      </w:r>
    </w:p>
    <w:p>
      <w:pPr>
        <w:spacing w:after="60"/>
        <w:ind w:left="720" w:hanging="720"/>
      </w:pPr>
      <w:r>
        <w:rPr>
          <w:rFonts w:ascii="Times New Roman" w:hAnsi="Times New Roman"/>
          <w:sz w:val="20"/>
        </w:rPr>
        <w:t>Robinson, D. F., &amp; Foulds, L. R. (1981). Comparison of phylogenetic trees. Mathematical Biosciences, 53(1–2), 131–147. https://doi.org/10.1016/0025-5564(81)90043-2</w:t>
      </w:r>
    </w:p>
    <w:p>
      <w:pPr>
        <w:spacing w:after="60"/>
        <w:ind w:left="720" w:hanging="720"/>
      </w:pPr>
      <w:r>
        <w:rPr>
          <w:rFonts w:ascii="Times New Roman" w:hAnsi="Times New Roman"/>
          <w:sz w:val="20"/>
        </w:rPr>
        <w:t>Sayers, E. W., Bolton, E. E., Brister, J. R., Canese, K., Chan, J., Comeau, D. C., Connor, R., Funk, K., Kelly, C., Kim, S., Madej, T., Marchler-Bauer, A., Lanczycki, C., Lathrop, S., Lu, Z., Thibaud-Nissen, F., Murphy, T., Phan, L., Skripchenko, Y., Tse, T., Wang, J., Williams, R., Trawick, B. W., Pruitt, K. D., &amp; Sherry, S. T. (2022). Database resources of the National Center for Biotechnology Information. Nucleic Acids Research, 50(D1), D13–D25. https://doi.org/10.1093/nar/gkab1112</w:t>
      </w:r>
    </w:p>
    <w:p>
      <w:pPr>
        <w:spacing w:after="60"/>
        <w:ind w:left="720" w:hanging="720"/>
      </w:pPr>
      <w:r>
        <w:rPr>
          <w:rFonts w:ascii="Times New Roman" w:hAnsi="Times New Roman"/>
          <w:sz w:val="20"/>
        </w:rPr>
        <w:t>Schliep, K. P. (2011). phangorn: phylogenetic analysis in R. Bioinformatics, 27(4), 592–593. https://doi.org/10.1093/bioinformatics/btq706</w:t>
      </w:r>
    </w:p>
    <w:p>
      <w:pPr>
        <w:spacing w:after="60"/>
        <w:ind w:left="720" w:hanging="720"/>
      </w:pPr>
      <w:r>
        <w:rPr>
          <w:rFonts w:ascii="Times New Roman" w:hAnsi="Times New Roman"/>
          <w:sz w:val="20"/>
        </w:rPr>
        <w:t>Sukumaran, J., &amp; Holder, M. T. (2010). DendroPy: a Python library for phylogenetic computing. Bioinformatics, 26(12), 1569–1571. https://doi.org/10.1093/bioinformatics/btq228</w:t>
      </w:r>
    </w:p>
    <w:p>
      <w:pPr>
        <w:spacing w:after="60"/>
        <w:ind w:left="720" w:hanging="720"/>
      </w:pPr>
      <w:r>
        <w:rPr>
          <w:rFonts w:ascii="Times New Roman" w:hAnsi="Times New Roman"/>
          <w:sz w:val="20"/>
        </w:rPr>
        <w:t>Wright, C. J., Stevens, L., Mackintosh, A., Lawniczak, M., &amp; Blaxter, M. (2024). Comparative genomics reveals the dynamics of chromosome evolution in Lepidoptera. Nature Ecology and Evolution, 8, 777–790. https://doi.org/10.1038/s41559-024-02329-4</w:t>
      </w:r>
    </w:p>
    <w:p>
      <w:pPr>
        <w:spacing w:after="60"/>
        <w:ind w:left="720" w:hanging="720"/>
      </w:pPr>
      <w:r>
        <w:rPr>
          <w:rFonts w:ascii="Times New Roman" w:hAnsi="Times New Roman"/>
          <w:sz w:val="20"/>
        </w:rPr>
        <w:t>Zhang, C., &amp; Mirarab, S. (2022). Weighting by gene tree uncertainty improves accuracy of quartet-based species trees. Molecular Biology and Evolution, 39(12), msac215. https://doi.org/10.1093/molbev/msac215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sz w:val="24"/>
        <w:szCs w:val="24"/>
      </w:rPr>
      <w:t xml:space="preserve">SCARAB — Methods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2026-03-21T14:41:07.611Z</dcterms:created>
  <dcterms:modified xsi:type="dcterms:W3CDTF">2026-03-21T14:41:07.611Z</dcterms:modified>
</cp:coreProperties>
</file>

<file path=docProps/custom.xml><?xml version="1.0" encoding="utf-8"?>
<Properties xmlns="http://schemas.openxmlformats.org/officeDocument/2006/custom-properties" xmlns:vt="http://schemas.openxmlformats.org/officeDocument/2006/docPropsVTypes"/>
</file>