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D7377"/>
          <w:sz w:val="56"/>
          <w:szCs w:val="56"/>
        </w:rPr>
        <w:t xml:space="preserve">TraitTrawler</w:t>
      </w:r>
    </w:p>
    <w:p>
      <w:pPr>
        <w:spacing w:after="80"/>
        <w:jc w:val="center"/>
      </w:pPr>
      <w:r>
        <w:rPr>
          <w:rFonts w:ascii="Arial" w:cs="Arial" w:eastAsia="Arial" w:hAnsi="Arial"/>
          <w:color w:val="2D3436"/>
          <w:sz w:val="28"/>
          <w:szCs w:val="28"/>
        </w:rPr>
        <w:t xml:space="preserve">Technical Review &amp; Recommendations</w:t>
      </w:r>
    </w:p>
    <w:p>
      <w:pPr>
        <w:spacing w:after="600"/>
        <w:jc w:val="center"/>
      </w:pPr>
      <w:r>
        <w:rPr>
          <w:rFonts w:ascii="Arial" w:cs="Arial" w:eastAsia="Arial" w:hAnsi="Arial"/>
          <w:i/>
          <w:iCs/>
          <w:color w:val="636E72"/>
          <w:sz w:val="22"/>
          <w:szCs w:val="22"/>
        </w:rPr>
        <w:t xml:space="preserve">Prepared for Anthropic Developer Relations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D7377" w:sz="3"/>
              <w:left w:val="none" w:sz="0"/>
              <w:bottom w:val="none" w:sz="0"/>
              <w:right w:val="none" w:sz="0"/>
            </w:tcBorders>
            <w:shd w:fill="E8F5F5" w:val="clear"/>
            <w:tcMar>
              <w:top w:type="dxa" w:w="160"/>
              <w:left w:type="dxa" w:w="240"/>
              <w:bottom w:type="dxa" w:w="160"/>
              <w:right w:type="dxa" w:w="240"/>
            </w:tcMar>
          </w:tcPr>
          <w:p>
            <w:pPr>
              <w:spacing w:after="4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Author:</w:t>
            </w:r>
            <w:r>
              <w:rPr>
                <w:rFonts w:ascii="Arial" w:cs="Arial" w:eastAsia="Arial" w:hAnsi="Arial"/>
                <w:color w:val="2D3436"/>
                <w:sz w:val="22"/>
                <w:szCs w:val="22"/>
              </w:rPr>
              <w:t xml:space="preserve"> Heath Blackmon, Ph.D.</w:t>
            </w:r>
          </w:p>
          <w:p>
            <w:pPr>
              <w:spacing w:after="4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Affiliation:</w:t>
            </w:r>
            <w:r>
              <w:rPr>
                <w:rFonts w:ascii="Arial" w:cs="Arial" w:eastAsia="Arial" w:hAnsi="Arial"/>
                <w:color w:val="2D3436"/>
                <w:sz w:val="22"/>
                <w:szCs w:val="22"/>
              </w:rPr>
              <w:t xml:space="preserve"> Department of Biology, Texas A&amp;M University</w:t>
            </w:r>
          </w:p>
          <w:p>
            <w:pPr>
              <w:spacing w:after="4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Repository:</w:t>
            </w:r>
            <w:r>
              <w:rPr>
                <w:rFonts w:ascii="Arial" w:cs="Arial" w:eastAsia="Arial" w:hAnsi="Arial"/>
                <w:color w:val="2D3436"/>
                <w:sz w:val="22"/>
                <w:szCs w:val="22"/>
              </w:rPr>
              <w:t xml:space="preserve"> github.com/coleoguy/TraitTrawler</w:t>
            </w:r>
          </w:p>
          <w:p>
            <w:pPr>
              <w:spacing w:after="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Date:</w:t>
            </w:r>
            <w:r>
              <w:rPr>
                <w:rFonts w:ascii="Arial" w:cs="Arial" w:eastAsia="Arial" w:hAnsi="Arial"/>
                <w:color w:val="2D3436"/>
                <w:sz w:val="22"/>
                <w:szCs w:val="22"/>
              </w:rPr>
              <w:t xml:space="preserve"> March 2026</w:t>
            </w:r>
          </w:p>
        </w:tc>
      </w:tr>
    </w:tbl>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0D7377"/>
          <w:sz w:val="32"/>
          <w:szCs w:val="32"/>
        </w:rPr>
        <w:t xml:space="preserve">Executive Summary</w:t>
      </w:r>
    </w:p>
    <w:p>
      <w:pPr>
        <w:spacing w:after="160"/>
        <w:jc w:val="left"/>
      </w:pPr>
      <w:r>
        <w:rPr>
          <w:rFonts w:ascii="Arial" w:cs="Arial" w:eastAsia="Arial" w:hAnsi="Arial"/>
          <w:color w:val="2D3436"/>
          <w:sz w:val="22"/>
          <w:szCs w:val="22"/>
        </w:rPr>
        <w:t xml:space="preserve">TraitTrawler is an autonomous literature-mining agent built as a Claude Cowork skill that searches scientific databases, retrieves full-text PDFs (including paywalled papers via institutional proxy), extracts structured phenotypic data, and writes validated records to CSV. It is the first published, rigorously validated autonomous AI agent for large-scale scientific data extraction, and it runs entirely within the Claude platform.</w:t>
      </w:r>
    </w:p>
    <w:p>
      <w:pPr>
        <w:spacing w:after="160"/>
        <w:jc w:val="left"/>
      </w:pPr>
      <w:r>
        <w:rPr>
          <w:rFonts w:ascii="Arial" w:cs="Arial" w:eastAsia="Arial" w:hAnsi="Arial"/>
          <w:color w:val="2D3436"/>
          <w:sz w:val="22"/>
          <w:szCs w:val="22"/>
        </w:rPr>
        <w:t xml:space="preserve">The accompanying manuscript (in preparation for Methods in Ecology and Evolution) reports a validation study comparing TraitTrawler’s output against a human-curated Coleoptera karyotype database of 4,959 records. In approximately 15 hours of autonomous operation, the agent extracted 5,339 records with 94.1% accuracy on the primary metric (haploid autosome count), rising to 96.3% after adjudication against primary sources. Sex chromosome system agreement was 92.7% (κ = 0.84, “almost perfect”). Taxonomic name error rates were statistically indistinguishable between AI and human datasets.</w:t>
      </w:r>
    </w:p>
    <w:p>
      <w:pPr>
        <w:spacing w:after="160"/>
        <w:jc w:val="left"/>
      </w:pPr>
      <w:r>
        <w:rPr>
          <w:rFonts w:ascii="Arial" w:cs="Arial" w:eastAsia="Arial" w:hAnsi="Arial"/>
          <w:color w:val="2D3436"/>
          <w:sz w:val="22"/>
          <w:szCs w:val="22"/>
        </w:rPr>
        <w:t xml:space="preserve">This document provides a technical review of TraitTrawler against Anthropic’s published skill authoring best practices, identifies specific areas where the skill can be strengthened, and proposes a set of high-impact enhancements that would make TraitTrawler a flagship example of autonomous scientific AI — the kind of work Anthropic’s partnerships with institutions like the Allen Institute and HHMI are designed to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0D7377" w:val="clear"/>
          </w:tcPr>
          <w:p>
            <w:r>
              <w:t xml:space="preserve"/>
            </w:r>
          </w:p>
        </w:tc>
        <w:tc>
          <w:tcPr>
            <w:tcW w:type="dxa" w:w="9160"/>
            <w:tcBorders>
              <w:top w:val="none" w:sz="0"/>
              <w:left w:val="none" w:sz="0"/>
              <w:bottom w:val="none" w:sz="0"/>
              <w:right w:val="none" w:sz="0"/>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Why This Matters to Anthropic</w:t>
            </w:r>
          </w:p>
          <w:p>
            <w:pPr>
              <w:spacing w:after="0"/>
            </w:pPr>
            <w:r>
              <w:rPr>
                <w:rFonts w:ascii="Arial" w:cs="Arial" w:eastAsia="Arial" w:hAnsi="Arial"/>
                <w:color w:val="2D3436"/>
                <w:sz w:val="20"/>
                <w:szCs w:val="20"/>
              </w:rPr>
              <w:t xml:space="preserve">TraitTrawler is a peer-reviewed demonstration that Claude can serve as an autonomous scientific investigator — not a chatbot assistant, but a self-directed agent that produces publishable research outputs. It validates the Claude platform’s skill architecture in a domain (scientific literature mining) where Anthropic has made strategic investments. It also ships with the most rigorous accuracy benchmarks of any community-built skill to date.</w:t>
            </w:r>
          </w:p>
        </w:tc>
      </w:tr>
    </w:tbl>
    <w:p>
      <w:pPr>
        <w:spacing w:after="120"/>
      </w:pPr>
    </w:p>
    <w:p>
      <w:pPr>
        <w:pStyle w:val="Heading1"/>
        <w:spacing w:after="120" w:before="360"/>
      </w:pPr>
      <w:r>
        <w:rPr>
          <w:rFonts w:ascii="Arial" w:cs="Arial" w:eastAsia="Arial" w:hAnsi="Arial"/>
          <w:b/>
          <w:bCs/>
          <w:color w:val="0D7377"/>
          <w:sz w:val="32"/>
          <w:szCs w:val="32"/>
        </w:rPr>
        <w:t xml:space="preserve">1. Compliance Audit: Anthropic Skill Best Practices</w:t>
      </w:r>
    </w:p>
    <w:p>
      <w:pPr>
        <w:spacing w:after="160"/>
        <w:jc w:val="left"/>
      </w:pPr>
      <w:r>
        <w:rPr>
          <w:rFonts w:ascii="Arial" w:cs="Arial" w:eastAsia="Arial" w:hAnsi="Arial"/>
          <w:color w:val="2D3436"/>
          <w:sz w:val="22"/>
          <w:szCs w:val="22"/>
        </w:rPr>
        <w:t xml:space="preserve">The following audit uses Anthropic’s published checklist from platform.claude.com/docs/en/agents-and-tools/agent-skills/best-practices.</w:t>
      </w:r>
    </w:p>
    <w:p>
      <w:pPr>
        <w:pStyle w:val="Heading2"/>
        <w:spacing w:after="120" w:before="240"/>
      </w:pPr>
      <w:r>
        <w:rPr>
          <w:rFonts w:ascii="Arial" w:cs="Arial" w:eastAsia="Arial" w:hAnsi="Arial"/>
          <w:b/>
          <w:bCs/>
          <w:color w:val="2D3436"/>
          <w:sz w:val="26"/>
          <w:szCs w:val="26"/>
        </w:rPr>
        <w:t xml:space="preserve">1.1 SKILL.md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E17055" w:val="clear"/>
          </w:tcPr>
          <w:p>
            <w:r>
              <w:t xml:space="preserve"/>
            </w:r>
          </w:p>
        </w:tc>
        <w:tc>
          <w:tcPr>
            <w:tcW w:type="dxa" w:w="9160"/>
            <w:tcBorders>
              <w:top w:val="none" w:sz="0"/>
              <w:left w:val="none" w:sz="0"/>
              <w:bottom w:val="none" w:sz="0"/>
              <w:right w:val="none" w:sz="0"/>
            </w:tcBorders>
            <w:shd w:fill="FDE8E2" w:val="clear"/>
            <w:tcMar>
              <w:top w:type="dxa" w:w="120"/>
              <w:left w:type="dxa" w:w="200"/>
              <w:bottom w:type="dxa" w:w="120"/>
              <w:right w:type="dxa" w:w="200"/>
            </w:tcMar>
          </w:tcPr>
          <w:p>
            <w:pPr>
              <w:spacing w:after="60"/>
            </w:pPr>
            <w:r>
              <w:rPr>
                <w:rFonts w:ascii="Arial" w:cs="Arial" w:eastAsia="Arial" w:hAnsi="Arial"/>
                <w:b/>
                <w:bCs/>
                <w:color w:val="E17055"/>
                <w:sz w:val="22"/>
                <w:szCs w:val="22"/>
              </w:rPr>
              <w:t xml:space="preserve">Issue: SKILL.md is 885 lines (limit: 500)</w:t>
            </w:r>
          </w:p>
          <w:p>
            <w:pPr>
              <w:spacing w:after="0"/>
            </w:pPr>
            <w:r>
              <w:rPr>
                <w:rFonts w:ascii="Arial" w:cs="Arial" w:eastAsia="Arial" w:hAnsi="Arial"/>
                <w:color w:val="2D3436"/>
                <w:sz w:val="20"/>
                <w:szCs w:val="20"/>
              </w:rPr>
              <w:t xml:space="preserve">Anthropic’s best practices state: “Keep SKILL.md body under 500 lines for optimal performance. If your content exceeds this, split it into separate files.” TraitTrawler’s SKILL.md is 885 lines and ~8,600 tokens. Once loaded, every token competes with conversation history, search results, PDF content, and extraction reasoning. This is the single most impactful technical issue.</w:t>
            </w:r>
          </w:p>
        </w:tc>
      </w:tr>
    </w:tbl>
    <w:p>
      <w:pPr>
        <w:spacing w:after="80"/>
      </w:pP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Recommended refactor:</w:t>
      </w:r>
      <w:r>
        <w:rPr>
          <w:rFonts w:ascii="Arial" w:cs="Arial" w:eastAsia="Arial" w:hAnsi="Arial"/>
          <w:color w:val="2D3436"/>
          <w:sz w:val="22"/>
          <w:szCs w:val="22"/>
        </w:rPr>
        <w:t xml:space="preserve"> Split SKILL.md into a 300–400 line core file plus three reference files:</w:t>
      </w:r>
    </w:p>
    <w:p>
      <w:pPr>
        <w:pStyle w:val="ListParagraph"/>
        <w:numPr>
          <w:ilvl w:val="0"/>
          <w:numId w:val="2"/>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SKILL.md (~350 lines):</w:t>
      </w:r>
      <w:r>
        <w:rPr>
          <w:rFonts w:ascii="Arial" w:cs="Arial" w:eastAsia="Arial" w:hAnsi="Arial"/>
          <w:color w:val="2D3436"/>
          <w:sz w:val="22"/>
          <w:szCs w:val="22"/>
        </w:rPr>
        <w:t xml:space="preserve"> Frontmatter, overview, startup sequence (§0–1), main loop (§2), and one-line pointers to reference files for each pipeline stage.</w:t>
      </w:r>
    </w:p>
    <w:p>
      <w:pPr>
        <w:pStyle w:val="ListParagraph"/>
        <w:numPr>
          <w:ilvl w:val="0"/>
          <w:numId w:val="2"/>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references/search_and_triage.md:</w:t>
      </w:r>
      <w:r>
        <w:rPr>
          <w:rFonts w:ascii="Arial" w:cs="Arial" w:eastAsia="Arial" w:hAnsi="Arial"/>
          <w:color w:val="2D3436"/>
          <w:sz w:val="22"/>
          <w:szCs w:val="22"/>
        </w:rPr>
        <w:t xml:space="preserve"> §3–4 (search logic, citation chaining, triage rules). ~150 lines.</w:t>
      </w:r>
    </w:p>
    <w:p>
      <w:pPr>
        <w:pStyle w:val="ListParagraph"/>
        <w:numPr>
          <w:ilvl w:val="0"/>
          <w:numId w:val="2"/>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references/extraction_and_validation.md:</w:t>
      </w:r>
      <w:r>
        <w:rPr>
          <w:rFonts w:ascii="Arial" w:cs="Arial" w:eastAsia="Arial" w:hAnsi="Arial"/>
          <w:color w:val="2D3436"/>
          <w:sz w:val="22"/>
          <w:szCs w:val="22"/>
        </w:rPr>
        <w:t xml:space="preserve"> §5–8 (PDF fetch cascade, extraction strategies, validation, CSV write). ~250 lines.</w:t>
      </w:r>
    </w:p>
    <w:p>
      <w:pPr>
        <w:pStyle w:val="ListParagraph"/>
        <w:numPr>
          <w:ilvl w:val="0"/>
          <w:numId w:val="2"/>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references/session_management.md:</w:t>
      </w:r>
      <w:r>
        <w:rPr>
          <w:rFonts w:ascii="Arial" w:cs="Arial" w:eastAsia="Arial" w:hAnsi="Arial"/>
          <w:color w:val="2D3436"/>
          <w:sz w:val="22"/>
          <w:szCs w:val="22"/>
        </w:rPr>
        <w:t xml:space="preserve"> §9–13 (state files, pause triggers, reporting, dashboard, error handling). ~150 lines.</w:t>
      </w:r>
    </w:p>
    <w:p>
      <w:pPr>
        <w:spacing w:after="160"/>
        <w:jc w:val="left"/>
      </w:pPr>
      <w:r>
        <w:rPr>
          <w:rFonts w:ascii="Arial" w:cs="Arial" w:eastAsia="Arial" w:hAnsi="Arial"/>
          <w:color w:val="2D3436"/>
          <w:sz w:val="22"/>
          <w:szCs w:val="22"/>
        </w:rPr>
        <w:t xml:space="preserve">This follows Anthropic’s “Pattern 2: Domain-specific organization” and keeps all references one level deep from SKILL.md. Claude reads the core file every session but only loads extraction_and_validation.md when processing a paper, search_and_triage.md when running queries, etc.</w:t>
      </w:r>
    </w:p>
    <w:p>
      <w:pPr>
        <w:pStyle w:val="Heading2"/>
        <w:spacing w:after="120" w:before="240"/>
      </w:pPr>
      <w:r>
        <w:rPr>
          <w:rFonts w:ascii="Arial" w:cs="Arial" w:eastAsia="Arial" w:hAnsi="Arial"/>
          <w:b/>
          <w:bCs/>
          <w:color w:val="2D3436"/>
          <w:sz w:val="26"/>
          <w:szCs w:val="26"/>
        </w:rPr>
        <w:t xml:space="preserve">1.2 Description Field</w:t>
      </w:r>
    </w:p>
    <w:p>
      <w:pPr>
        <w:spacing w:after="160"/>
        <w:jc w:val="left"/>
      </w:pPr>
      <w:r>
        <w:rPr>
          <w:rFonts w:ascii="Arial" w:cs="Arial" w:eastAsia="Arial" w:hAnsi="Arial"/>
          <w:color w:val="2D3436"/>
          <w:sz w:val="22"/>
          <w:szCs w:val="22"/>
        </w:rPr>
        <w:t xml:space="preserve">The current description is functional but violates Anthropic’s third-person requirement (“The description is injected into the system prompt, and inconsistent point-of-view can cause discovery problems”). The phrase “It runs for as long as the user wants” is second-person adjacent.</w:t>
      </w: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Current:</w:t>
      </w:r>
      <w:r>
        <w:rPr>
          <w:rFonts w:ascii="Arial" w:cs="Arial" w:eastAsia="Arial" w:hAnsi="Arial"/>
          <w:color w:val="2D3436"/>
          <w:sz w:val="22"/>
          <w:szCs w:val="22"/>
        </w:rPr>
        <w:t xml:space="preserve"/>
      </w:r>
    </w:p>
    <w:p>
      <w:pPr>
        <w:spacing w:after="160"/>
        <w:ind w:left="360"/>
        <w:jc w:val="left"/>
      </w:pPr>
      <w:r>
        <w:rPr>
          <w:rFonts w:ascii="Arial" w:cs="Arial" w:eastAsia="Arial" w:hAnsi="Arial"/>
          <w:i/>
          <w:iCs/>
          <w:color w:val="2D3436"/>
          <w:sz w:val="22"/>
          <w:szCs w:val="22"/>
        </w:rPr>
        <w:t xml:space="preserve">“Autonomous literature data collector. Invoke this skill when the user wants to collect trait data from the scientific literature...”</w:t>
      </w: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Recommended:</w:t>
      </w:r>
      <w:r>
        <w:rPr>
          <w:rFonts w:ascii="Arial" w:cs="Arial" w:eastAsia="Arial" w:hAnsi="Arial"/>
          <w:color w:val="2D3436"/>
          <w:sz w:val="22"/>
          <w:szCs w:val="22"/>
        </w:rPr>
        <w:t xml:space="preserve"/>
      </w:r>
    </w:p>
    <w:p>
      <w:pPr>
        <w:spacing w:after="160"/>
        <w:ind w:left="360"/>
        <w:jc w:val="left"/>
      </w:pPr>
      <w:r>
        <w:rPr>
          <w:rFonts w:ascii="Arial" w:cs="Arial" w:eastAsia="Arial" w:hAnsi="Arial"/>
          <w:i/>
          <w:iCs/>
          <w:color w:val="2D3436"/>
          <w:sz w:val="22"/>
          <w:szCs w:val="22"/>
        </w:rPr>
        <w:t xml:space="preserve">“Autonomous scientific literature mining agent. Searches PubMed, OpenAlex, bioRxiv, and Crossref, retrieves full-text PDFs through open-access sources and institutional proxies, extracts structured phenotypic data from prose, tables, and catalogues, and writes validated records to CSV. Taxon- and trait-agnostic: adapts to any system via project configuration files. Triggers on: collect trait data, run the agent, work on the database, gather papers, literature mining, build a trait database.”</w:t>
      </w:r>
    </w:p>
    <w:p>
      <w:pPr>
        <w:pStyle w:val="Heading2"/>
        <w:spacing w:after="120" w:before="240"/>
      </w:pPr>
      <w:r>
        <w:rPr>
          <w:rFonts w:ascii="Arial" w:cs="Arial" w:eastAsia="Arial" w:hAnsi="Arial"/>
          <w:b/>
          <w:bCs/>
          <w:color w:val="2D3436"/>
          <w:sz w:val="26"/>
          <w:szCs w:val="26"/>
        </w:rPr>
        <w:t xml:space="preserve">1.3 Progressive Disclosure</w:t>
      </w:r>
    </w:p>
    <w:p>
      <w:pPr>
        <w:spacing w:after="160"/>
        <w:jc w:val="left"/>
      </w:pPr>
      <w:r>
        <w:rPr>
          <w:rFonts w:ascii="Arial" w:cs="Arial" w:eastAsia="Arial" w:hAnsi="Arial"/>
          <w:color w:val="2D3436"/>
          <w:sz w:val="22"/>
          <w:szCs w:val="22"/>
        </w:rPr>
        <w:t xml:space="preserve">TraitTrawler partially implements progressive disclosure through the references/ directory (csv_schema.md, config_template.yaml) and project-level files (guide.md, extraction_examples.md). However, the main SKILL.md loads all pipeline stages at once regardless of which stage the agent is currently in. The refactor in 1.1 would fix this.</w:t>
      </w:r>
    </w:p>
    <w:p>
      <w:pPr>
        <w:pStyle w:val="Heading2"/>
        <w:spacing w:after="120" w:before="240"/>
      </w:pPr>
      <w:r>
        <w:rPr>
          <w:rFonts w:ascii="Arial" w:cs="Arial" w:eastAsia="Arial" w:hAnsi="Arial"/>
          <w:b/>
          <w:bCs/>
          <w:color w:val="2D3436"/>
          <w:sz w:val="26"/>
          <w:szCs w:val="26"/>
        </w:rPr>
        <w:t xml:space="preserve">1.4 Evaluation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E17055" w:val="clear"/>
          </w:tcPr>
          <w:p>
            <w:r>
              <w:t xml:space="preserve"/>
            </w:r>
          </w:p>
        </w:tc>
        <w:tc>
          <w:tcPr>
            <w:tcW w:type="dxa" w:w="9160"/>
            <w:tcBorders>
              <w:top w:val="none" w:sz="0"/>
              <w:left w:val="none" w:sz="0"/>
              <w:bottom w:val="none" w:sz="0"/>
              <w:right w:val="none" w:sz="0"/>
            </w:tcBorders>
            <w:shd w:fill="FDE8E2" w:val="clear"/>
            <w:tcMar>
              <w:top w:type="dxa" w:w="120"/>
              <w:left w:type="dxa" w:w="200"/>
              <w:bottom w:type="dxa" w:w="120"/>
              <w:right w:type="dxa" w:w="200"/>
            </w:tcMar>
          </w:tcPr>
          <w:p>
            <w:pPr>
              <w:spacing w:after="60"/>
            </w:pPr>
            <w:r>
              <w:rPr>
                <w:rFonts w:ascii="Arial" w:cs="Arial" w:eastAsia="Arial" w:hAnsi="Arial"/>
                <w:b/>
                <w:bCs/>
                <w:color w:val="E17055"/>
                <w:sz w:val="22"/>
                <w:szCs w:val="22"/>
              </w:rPr>
              <w:t xml:space="preserve">Issue: No formal evaluations</w:t>
            </w:r>
          </w:p>
          <w:p>
            <w:pPr>
              <w:spacing w:after="0"/>
            </w:pPr>
            <w:r>
              <w:rPr>
                <w:rFonts w:ascii="Arial" w:cs="Arial" w:eastAsia="Arial" w:hAnsi="Arial"/>
                <w:color w:val="2D3436"/>
                <w:sz w:val="20"/>
                <w:szCs w:val="20"/>
              </w:rPr>
              <w:t xml:space="preserve">Anthropic’s best practices state: “Create evaluations BEFORE writing extensive documentation.” The validation study in the MEE manuscript is scientifically rigorous, but it is not packaged as a runnable skill evaluation that Anthropic’s team can execute. This is likely why previous outreach got boilerplate responses — without evals, the submission looks like documentation, not engineering.</w:t>
            </w:r>
          </w:p>
        </w:tc>
      </w:tr>
    </w:tbl>
    <w:p>
      <w:pPr>
        <w:spacing w:after="80"/>
      </w:pP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Recommendation:</w:t>
      </w:r>
      <w:r>
        <w:rPr>
          <w:rFonts w:ascii="Arial" w:cs="Arial" w:eastAsia="Arial" w:hAnsi="Arial"/>
          <w:color w:val="2D3436"/>
          <w:sz w:val="22"/>
          <w:szCs w:val="22"/>
        </w:rPr>
        <w:t xml:space="preserve"> Create an evals/ directory with at least five structured test cases:</w:t>
      </w:r>
    </w:p>
    <w:p>
      <w:pPr>
        <w:pStyle w:val="ListParagraph"/>
        <w:numPr>
          <w:ilvl w:val="0"/>
          <w:numId w:val="3"/>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Setup wizard test:</w:t>
      </w:r>
      <w:r>
        <w:rPr>
          <w:rFonts w:ascii="Arial" w:cs="Arial" w:eastAsia="Arial" w:hAnsi="Arial"/>
          <w:color w:val="2D3436"/>
          <w:sz w:val="22"/>
          <w:szCs w:val="22"/>
        </w:rPr>
        <w:t xml:space="preserve"> Empty folder → agent should ask 8 setup questions and generate valid config files.</w:t>
      </w:r>
    </w:p>
    <w:p>
      <w:pPr>
        <w:pStyle w:val="ListParagraph"/>
        <w:numPr>
          <w:ilvl w:val="0"/>
          <w:numId w:val="3"/>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Triage accuracy test:</w:t>
      </w:r>
      <w:r>
        <w:rPr>
          <w:rFonts w:ascii="Arial" w:cs="Arial" w:eastAsia="Arial" w:hAnsi="Arial"/>
          <w:color w:val="2D3436"/>
          <w:sz w:val="22"/>
          <w:szCs w:val="22"/>
        </w:rPr>
        <w:t xml:space="preserve"> Provide 20 paper abstracts (10 relevant, 5 ambiguous, 5 irrelevant) plus a config → agent should classify with ≥90% agreement against gold labels.</w:t>
      </w:r>
    </w:p>
    <w:p>
      <w:pPr>
        <w:pStyle w:val="ListParagraph"/>
        <w:numPr>
          <w:ilvl w:val="0"/>
          <w:numId w:val="3"/>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Table extraction test:</w:t>
      </w:r>
      <w:r>
        <w:rPr>
          <w:rFonts w:ascii="Arial" w:cs="Arial" w:eastAsia="Arial" w:hAnsi="Arial"/>
          <w:color w:val="2D3436"/>
          <w:sz w:val="22"/>
          <w:szCs w:val="22"/>
        </w:rPr>
        <w:t xml:space="preserve"> Provide a single PDF with a 15-row karyotype table → agent should extract all 15 records with correct field values.</w:t>
      </w:r>
    </w:p>
    <w:p>
      <w:pPr>
        <w:pStyle w:val="ListParagraph"/>
        <w:numPr>
          <w:ilvl w:val="0"/>
          <w:numId w:val="3"/>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Catalogue extraction test:</w:t>
      </w:r>
      <w:r>
        <w:rPr>
          <w:rFonts w:ascii="Arial" w:cs="Arial" w:eastAsia="Arial" w:hAnsi="Arial"/>
          <w:color w:val="2D3436"/>
          <w:sz w:val="22"/>
          <w:szCs w:val="22"/>
        </w:rPr>
        <w:t xml:space="preserve"> Provide a page of Smith &amp; Virkki (1978) notation → agent should parse all entries using extraction_examples.md rules.</w:t>
      </w:r>
    </w:p>
    <w:p>
      <w:pPr>
        <w:pStyle w:val="ListParagraph"/>
        <w:numPr>
          <w:ilvl w:val="0"/>
          <w:numId w:val="3"/>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Session resume test:</w:t>
      </w:r>
      <w:r>
        <w:rPr>
          <w:rFonts w:ascii="Arial" w:cs="Arial" w:eastAsia="Arial" w:hAnsi="Arial"/>
          <w:color w:val="2D3436"/>
          <w:sz w:val="22"/>
          <w:szCs w:val="22"/>
        </w:rPr>
        <w:t xml:space="preserve"> Provide pre-populated state files → agent should skip already-processed papers and resume from the correct query.</w:t>
      </w:r>
    </w:p>
    <w:p>
      <w:pPr>
        <w:spacing w:after="160"/>
        <w:jc w:val="left"/>
      </w:pPr>
      <w:r>
        <w:rPr>
          <w:rFonts w:ascii="Arial" w:cs="Arial" w:eastAsia="Arial" w:hAnsi="Arial"/>
          <w:color w:val="2D3436"/>
          <w:sz w:val="22"/>
          <w:szCs w:val="22"/>
        </w:rPr>
        <w:t xml:space="preserve">Each eval should follow Anthropic’s JSON format: { skills, query, files, expected_behavior }. Include near-miss cases (e.g., a molecular phylogenetics paper that mentions chromosome numbers in passing but is not a karyotype source).</w:t>
      </w:r>
    </w:p>
    <w:p>
      <w:pPr>
        <w:pStyle w:val="Heading2"/>
        <w:spacing w:after="120" w:before="240"/>
      </w:pPr>
      <w:r>
        <w:rPr>
          <w:rFonts w:ascii="Arial" w:cs="Arial" w:eastAsia="Arial" w:hAnsi="Arial"/>
          <w:b/>
          <w:bCs/>
          <w:color w:val="2D3436"/>
          <w:sz w:val="26"/>
          <w:szCs w:val="26"/>
        </w:rPr>
        <w:t xml:space="preserve">1.5 MCP Tool References</w:t>
      </w:r>
    </w:p>
    <w:p>
      <w:pPr>
        <w:spacing w:after="160"/>
        <w:jc w:val="left"/>
      </w:pPr>
      <w:r>
        <w:rPr>
          <w:rFonts w:ascii="Arial" w:cs="Arial" w:eastAsia="Arial" w:hAnsi="Arial"/>
          <w:color w:val="2D3436"/>
          <w:sz w:val="22"/>
          <w:szCs w:val="22"/>
        </w:rPr>
        <w:t xml:space="preserve">Anthropic requires fully qualified MCP tool names (ServerName:tool_name) to prevent “tool not found” errors when multiple MCP servers are available. SKILL.md currently references tools like “search_articles” and “search_works” without server prefixes. Update all MCP references to use the qualified format.</w:t>
      </w:r>
    </w:p>
    <w:p>
      <w:pPr>
        <w:pStyle w:val="Heading2"/>
        <w:spacing w:after="120" w:before="240"/>
      </w:pPr>
      <w:r>
        <w:rPr>
          <w:rFonts w:ascii="Arial" w:cs="Arial" w:eastAsia="Arial" w:hAnsi="Arial"/>
          <w:b/>
          <w:bCs/>
          <w:color w:val="2D3436"/>
          <w:sz w:val="26"/>
          <w:szCs w:val="26"/>
        </w:rPr>
        <w:t xml:space="preserve">1.6 Remaining Checklist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16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Description includes triggers/contexts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Good trigger list</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SKILL.md body &lt; 500 lines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885 lines — needs split</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Additional details in separate files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Partial — needs more</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No time-sensitive information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Clean</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Consistent terminology</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Excellent throughout</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Concrete examples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Extraction examples file</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References one level deep</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Good structure</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Workflows have clear steps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Well-defined pipeline</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Scripts solve, don’t punt</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dashboard_generator.py</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Error handling explicit</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§12 comprehensive</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No magic constants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All values documented</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Required packages listed</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§1a checks deps</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Feedback loops for quality</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Validation → flag loop</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Formal evaluations (3+)</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None packaged</w:t>
            </w:r>
          </w:p>
        </w:tc>
      </w:tr>
      <w:tr>
        <w:tc>
          <w:tcPr>
            <w:tcW w:type="dxa" w:w="5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Tested across models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1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D3436"/>
                <w:sz w:val="20"/>
                <w:szCs w:val="20"/>
              </w:rPr>
              <w:t xml:space="preserve">Opus + Sonnet, not Haiku</w:t>
            </w:r>
          </w:p>
        </w:tc>
      </w:tr>
    </w:tbl>
    <w:p>
      <w:pPr>
        <w:spacing w:after="120"/>
      </w:pPr>
    </w:p>
    <w:p>
      <w:pPr>
        <w:pStyle w:val="Heading1"/>
        <w:spacing w:after="120" w:before="360"/>
      </w:pPr>
      <w:r>
        <w:rPr>
          <w:rFonts w:ascii="Arial" w:cs="Arial" w:eastAsia="Arial" w:hAnsi="Arial"/>
          <w:b/>
          <w:bCs/>
          <w:color w:val="0D7377"/>
          <w:sz w:val="32"/>
          <w:szCs w:val="32"/>
        </w:rPr>
        <w:t xml:space="preserve">2. High-Impact Enhancements</w:t>
      </w:r>
    </w:p>
    <w:p>
      <w:pPr>
        <w:spacing w:after="160"/>
        <w:jc w:val="left"/>
      </w:pPr>
      <w:r>
        <w:rPr>
          <w:rFonts w:ascii="Arial" w:cs="Arial" w:eastAsia="Arial" w:hAnsi="Arial"/>
          <w:color w:val="2D3436"/>
          <w:sz w:val="22"/>
          <w:szCs w:val="22"/>
        </w:rPr>
        <w:t xml:space="preserve">The following recommendations go beyond compliance fixes. These are the changes that would make TraitTrawler a flagship skill — the kind of thing Anthropic would feature in a blog post or partner showcase.</w:t>
      </w:r>
    </w:p>
    <w:p>
      <w:pPr>
        <w:pStyle w:val="Heading2"/>
        <w:spacing w:after="120" w:before="240"/>
      </w:pPr>
      <w:r>
        <w:rPr>
          <w:rFonts w:ascii="Arial" w:cs="Arial" w:eastAsia="Arial" w:hAnsi="Arial"/>
          <w:b/>
          <w:bCs/>
          <w:color w:val="2D3436"/>
          <w:sz w:val="26"/>
          <w:szCs w:val="26"/>
        </w:rPr>
        <w:t xml:space="preserve">2.1 Add a Verification Script for Extraction Quality</w:t>
      </w:r>
    </w:p>
    <w:p>
      <w:pPr>
        <w:spacing w:after="160"/>
        <w:jc w:val="left"/>
      </w:pPr>
      <w:r>
        <w:rPr>
          <w:rFonts w:ascii="Arial" w:cs="Arial" w:eastAsia="Arial" w:hAnsi="Arial"/>
          <w:color w:val="2D3436"/>
          <w:sz w:val="22"/>
          <w:szCs w:val="22"/>
        </w:rPr>
        <w:t xml:space="preserve">Anthropic’s best practices emphasize “verifiable intermediate outputs” and the plan-validate-execute pattern. TraitTrawler validates individual records (§7e) but lacks a session-level verification step that runs deterministic checks on the full results.csv.</w:t>
      </w: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Recommendation:</w:t>
      </w:r>
      <w:r>
        <w:rPr>
          <w:rFonts w:ascii="Arial" w:cs="Arial" w:eastAsia="Arial" w:hAnsi="Arial"/>
          <w:color w:val="2D3436"/>
          <w:sz w:val="22"/>
          <w:szCs w:val="22"/>
        </w:rPr>
        <w:t xml:space="preserve"> Create a verify_session.py utility script that runs after each batch:</w:t>
      </w:r>
    </w:p>
    <w:p>
      <w:pPr>
        <w:pStyle w:val="ListParagraph"/>
        <w:numPr>
          <w:ilvl w:val="0"/>
          <w:numId w:val="4"/>
        </w:numPr>
        <w:spacing w:after="100"/>
      </w:pPr>
      <w:r>
        <w:rPr>
          <w:rFonts w:ascii="Arial" w:cs="Arial" w:eastAsia="Arial" w:hAnsi="Arial"/>
          <w:color w:val="2D3436"/>
          <w:sz w:val="22"/>
          <w:szCs w:val="22"/>
        </w:rPr>
        <w:t xml:space="preserve">Duplicate detection across the full CSV (not just within-session)</w:t>
      </w:r>
    </w:p>
    <w:p>
      <w:pPr>
        <w:pStyle w:val="ListParagraph"/>
        <w:numPr>
          <w:ilvl w:val="0"/>
          <w:numId w:val="4"/>
        </w:numPr>
        <w:spacing w:after="100"/>
      </w:pPr>
      <w:r>
        <w:rPr>
          <w:rFonts w:ascii="Arial" w:cs="Arial" w:eastAsia="Arial" w:hAnsi="Arial"/>
          <w:color w:val="2D3436"/>
          <w:sz w:val="22"/>
          <w:szCs w:val="22"/>
        </w:rPr>
        <w:t xml:space="preserve">Schema compliance: every field matches its declared type/range</w:t>
      </w:r>
    </w:p>
    <w:p>
      <w:pPr>
        <w:pStyle w:val="ListParagraph"/>
        <w:numPr>
          <w:ilvl w:val="0"/>
          <w:numId w:val="4"/>
        </w:numPr>
        <w:spacing w:after="100"/>
      </w:pPr>
      <w:r>
        <w:rPr>
          <w:rFonts w:ascii="Arial" w:cs="Arial" w:eastAsia="Arial" w:hAnsi="Arial"/>
          <w:color w:val="2D3436"/>
          <w:sz w:val="22"/>
          <w:szCs w:val="22"/>
        </w:rPr>
        <w:t xml:space="preserve">Confidence distribution anomaly detection (flag sessions with unusually low mean confidence)</w:t>
      </w:r>
    </w:p>
    <w:p>
      <w:pPr>
        <w:pStyle w:val="ListParagraph"/>
        <w:numPr>
          <w:ilvl w:val="0"/>
          <w:numId w:val="4"/>
        </w:numPr>
        <w:spacing w:after="100"/>
      </w:pPr>
      <w:r>
        <w:rPr>
          <w:rFonts w:ascii="Arial" w:cs="Arial" w:eastAsia="Arial" w:hAnsi="Arial"/>
          <w:color w:val="2D3436"/>
          <w:sz w:val="22"/>
          <w:szCs w:val="22"/>
        </w:rPr>
        <w:t xml:space="preserve">Cross-field consistency checks from the project’s validation_rules</w:t>
      </w:r>
    </w:p>
    <w:p>
      <w:pPr>
        <w:pStyle w:val="ListParagraph"/>
        <w:numPr>
          <w:ilvl w:val="0"/>
          <w:numId w:val="4"/>
        </w:numPr>
        <w:spacing w:after="100"/>
      </w:pPr>
      <w:r>
        <w:rPr>
          <w:rFonts w:ascii="Arial" w:cs="Arial" w:eastAsia="Arial" w:hAnsi="Arial"/>
          <w:color w:val="2D3436"/>
          <w:sz w:val="22"/>
          <w:szCs w:val="22"/>
        </w:rPr>
        <w:t xml:space="preserve">Output a machine-readable JSON report that the agent reads and acts on</w:t>
      </w:r>
    </w:p>
    <w:p>
      <w:pPr>
        <w:spacing w:after="160"/>
        <w:jc w:val="left"/>
      </w:pPr>
      <w:r>
        <w:rPr>
          <w:rFonts w:ascii="Arial" w:cs="Arial" w:eastAsia="Arial" w:hAnsi="Arial"/>
          <w:color w:val="2D3436"/>
          <w:sz w:val="22"/>
          <w:szCs w:val="22"/>
        </w:rPr>
        <w:t xml:space="preserve">This turns the validation from an LLM judgment call into a deterministic script — which Anthropic’s docs explicitly prefer: “Apply concrete rules/linting (superior to fuzzy LLM judgment).”</w:t>
      </w:r>
    </w:p>
    <w:p>
      <w:pPr>
        <w:pStyle w:val="Heading2"/>
        <w:spacing w:after="120" w:before="240"/>
      </w:pPr>
      <w:r>
        <w:rPr>
          <w:rFonts w:ascii="Arial" w:cs="Arial" w:eastAsia="Arial" w:hAnsi="Arial"/>
          <w:b/>
          <w:bCs/>
          <w:color w:val="2D3436"/>
          <w:sz w:val="26"/>
          <w:szCs w:val="26"/>
        </w:rPr>
        <w:t xml:space="preserve">2.2 Structured Extraction Intermediate Output</w:t>
      </w:r>
    </w:p>
    <w:p>
      <w:pPr>
        <w:spacing w:after="160"/>
        <w:jc w:val="left"/>
      </w:pPr>
      <w:r>
        <w:rPr>
          <w:rFonts w:ascii="Arial" w:cs="Arial" w:eastAsia="Arial" w:hAnsi="Arial"/>
          <w:color w:val="2D3436"/>
          <w:sz w:val="22"/>
          <w:szCs w:val="22"/>
        </w:rPr>
        <w:t xml:space="preserve">Currently the agent extracts records directly from PDF text to CSV. Anthropic recommends creating verifiable intermediate outputs for complex, open-ended tasks. For TraitTrawler, this means writing an extraction_plan.json before committing records:</w:t>
      </w:r>
    </w:p>
    <w:p>
      <w:pPr>
        <w:spacing w:after="160"/>
        <w:jc w:val="left"/>
      </w:pPr>
      <w:r>
        <w:rPr>
          <w:rFonts w:ascii="Arial" w:cs="Arial" w:eastAsia="Arial" w:hAnsi="Arial"/>
          <w:color w:val="2D3436"/>
          <w:sz w:val="22"/>
          <w:szCs w:val="22"/>
        </w:rPr>
        <w:t xml:space="preserve">For each paper, the agent would: (1) classify document type, (2) write a structured plan listing every species identified and the fields it expects to extract, (3) run the plan through a validation script, and (4) execute extraction only after the plan passes. This catches hallucinated species names and field misinterpretations before they reach results.csv.</w:t>
      </w:r>
    </w:p>
    <w:p>
      <w:pPr>
        <w:spacing w:after="160"/>
        <w:jc w:val="left"/>
      </w:pPr>
      <w:r>
        <w:rPr>
          <w:rFonts w:ascii="Arial" w:cs="Arial" w:eastAsia="Arial" w:hAnsi="Arial"/>
          <w:color w:val="2D3436"/>
          <w:sz w:val="22"/>
          <w:szCs w:val="22"/>
        </w:rPr>
        <w:t xml:space="preserve">This is especially valuable for the table-heavy two-pass strategy (§7b) where enumeration already happens — the enhancement is to make it machine-verifiable rather than relying on the LLM to self-check its count.</w:t>
      </w:r>
    </w:p>
    <w:p>
      <w:pPr>
        <w:pStyle w:val="Heading2"/>
        <w:spacing w:after="120" w:before="240"/>
      </w:pPr>
      <w:r>
        <w:rPr>
          <w:rFonts w:ascii="Arial" w:cs="Arial" w:eastAsia="Arial" w:hAnsi="Arial"/>
          <w:b/>
          <w:bCs/>
          <w:color w:val="2D3436"/>
          <w:sz w:val="26"/>
          <w:szCs w:val="26"/>
        </w:rPr>
        <w:t xml:space="preserve">2.3 Self-Improving Domain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980B9" w:val="clear"/>
          </w:tcPr>
          <w:p>
            <w:r>
              <w:t xml:space="preserve"/>
            </w:r>
          </w:p>
        </w:tc>
        <w:tc>
          <w:tcPr>
            <w:tcW w:type="dxa" w:w="9160"/>
            <w:tcBorders>
              <w:top w:val="none" w:sz="0"/>
              <w:left w:val="none" w:sz="0"/>
              <w:bottom w:val="none" w:sz="0"/>
              <w:right w:val="none" w:sz="0"/>
            </w:tcBorders>
            <w:shd w:fill="E8F0F8" w:val="clear"/>
            <w:tcMar>
              <w:top w:type="dxa" w:w="120"/>
              <w:left w:type="dxa" w:w="200"/>
              <w:bottom w:type="dxa" w:w="120"/>
              <w:right w:type="dxa" w:w="200"/>
            </w:tcMar>
          </w:tcPr>
          <w:p>
            <w:pPr>
              <w:spacing w:after="60"/>
            </w:pPr>
            <w:r>
              <w:rPr>
                <w:rFonts w:ascii="Arial" w:cs="Arial" w:eastAsia="Arial" w:hAnsi="Arial"/>
                <w:b/>
                <w:bCs/>
                <w:color w:val="2980B9"/>
                <w:sz w:val="22"/>
                <w:szCs w:val="22"/>
              </w:rPr>
              <w:t xml:space="preserve">Bold Vision: Agent-Authored Science</w:t>
            </w:r>
          </w:p>
          <w:p>
            <w:pPr>
              <w:spacing w:after="0"/>
            </w:pPr>
            <w:r>
              <w:rPr>
                <w:rFonts w:ascii="Arial" w:cs="Arial" w:eastAsia="Arial" w:hAnsi="Arial"/>
                <w:color w:val="2D3436"/>
                <w:sz w:val="20"/>
                <w:szCs w:val="20"/>
              </w:rPr>
              <w:t xml:space="preserve">Anthropic’s blog highlights a future where agents “codify their own patterns of behavior into reusable capabilities.” TraitTrawler is uniquely positioned to demonstrate this: an agent that improves its own extraction rules based on what it learns from the literature.</w:t>
            </w:r>
          </w:p>
        </w:tc>
      </w:tr>
    </w:tbl>
    <w:p>
      <w:pPr>
        <w:spacing w:after="80"/>
      </w:pP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Recommendation:</w:t>
      </w:r>
      <w:r>
        <w:rPr>
          <w:rFonts w:ascii="Arial" w:cs="Arial" w:eastAsia="Arial" w:hAnsi="Arial"/>
          <w:color w:val="2D3436"/>
          <w:sz w:val="22"/>
          <w:szCs w:val="22"/>
        </w:rPr>
        <w:t xml:space="preserve"> After every N papers (configurable), the agent appends a structured “lessons learned” entry to a new file, discoveries.jsonl:</w:t>
      </w:r>
    </w:p>
    <w:p>
      <w:pPr>
        <w:pStyle w:val="ListParagraph"/>
        <w:numPr>
          <w:ilvl w:val="0"/>
          <w:numId w:val="5"/>
        </w:numPr>
        <w:spacing w:after="100"/>
      </w:pPr>
      <w:r>
        <w:rPr>
          <w:rFonts w:ascii="Arial" w:cs="Arial" w:eastAsia="Arial" w:hAnsi="Arial"/>
          <w:color w:val="2D3436"/>
          <w:sz w:val="22"/>
          <w:szCs w:val="22"/>
        </w:rPr>
        <w:t xml:space="preserve">New notation variants encountered (e.g., a sex chromosome system written as “X1X2X3Y” that isn’t in the normalization table)</w:t>
      </w:r>
    </w:p>
    <w:p>
      <w:pPr>
        <w:pStyle w:val="ListParagraph"/>
        <w:numPr>
          <w:ilvl w:val="0"/>
          <w:numId w:val="5"/>
        </w:numPr>
        <w:spacing w:after="100"/>
      </w:pPr>
      <w:r>
        <w:rPr>
          <w:rFonts w:ascii="Arial" w:cs="Arial" w:eastAsia="Arial" w:hAnsi="Arial"/>
          <w:color w:val="2D3436"/>
          <w:sz w:val="22"/>
          <w:szCs w:val="22"/>
        </w:rPr>
        <w:t xml:space="preserve">New family or subfamily names not in the GBIF backbone</w:t>
      </w:r>
    </w:p>
    <w:p>
      <w:pPr>
        <w:pStyle w:val="ListParagraph"/>
        <w:numPr>
          <w:ilvl w:val="0"/>
          <w:numId w:val="5"/>
        </w:numPr>
        <w:spacing w:after="100"/>
      </w:pPr>
      <w:r>
        <w:rPr>
          <w:rFonts w:ascii="Arial" w:cs="Arial" w:eastAsia="Arial" w:hAnsi="Arial"/>
          <w:color w:val="2D3436"/>
          <w:sz w:val="22"/>
          <w:szCs w:val="22"/>
        </w:rPr>
        <w:t xml:space="preserve">Recurring extraction patterns that caused low confidence</w:t>
      </w:r>
    </w:p>
    <w:p>
      <w:pPr>
        <w:pStyle w:val="ListParagraph"/>
        <w:numPr>
          <w:ilvl w:val="0"/>
          <w:numId w:val="5"/>
        </w:numPr>
        <w:spacing w:after="100"/>
      </w:pPr>
      <w:r>
        <w:rPr>
          <w:rFonts w:ascii="Arial" w:cs="Arial" w:eastAsia="Arial" w:hAnsi="Arial"/>
          <w:color w:val="2D3436"/>
          <w:sz w:val="22"/>
          <w:szCs w:val="22"/>
        </w:rPr>
        <w:t xml:space="preserve">Papers that revealed gaps in guide.md rules</w:t>
      </w:r>
    </w:p>
    <w:p>
      <w:pPr>
        <w:spacing w:after="160"/>
        <w:jc w:val="left"/>
      </w:pPr>
      <w:r>
        <w:rPr>
          <w:rFonts w:ascii="Arial" w:cs="Arial" w:eastAsia="Arial" w:hAnsi="Arial"/>
          <w:color w:val="2D3436"/>
          <w:sz w:val="22"/>
          <w:szCs w:val="22"/>
        </w:rPr>
        <w:t xml:space="preserve">At session end, the agent reviews discoveries.jsonl and proposes specific, diff-formatted amendments to guide.md. The user approves or rejects each proposed change. Over multiple sessions, guide.md becomes a collaboratively authored expert knowledge document — the agent contributes patterns it finds in the literature, the human provides judgment.</w:t>
      </w:r>
    </w:p>
    <w:p>
      <w:pPr>
        <w:spacing w:after="160"/>
        <w:jc w:val="left"/>
      </w:pPr>
      <w:r>
        <w:rPr>
          <w:rFonts w:ascii="Arial" w:cs="Arial" w:eastAsia="Arial" w:hAnsi="Arial"/>
          <w:color w:val="2D3436"/>
          <w:sz w:val="22"/>
          <w:szCs w:val="22"/>
        </w:rPr>
        <w:t xml:space="preserve">This positions TraitTrawler as a demonstration of Anthropic’s vision for self-improving agents, grounded in a real scientific workflow with human oversight.</w:t>
      </w:r>
    </w:p>
    <w:p>
      <w:pPr>
        <w:pStyle w:val="Heading2"/>
        <w:spacing w:after="120" w:before="240"/>
      </w:pPr>
      <w:r>
        <w:rPr>
          <w:rFonts w:ascii="Arial" w:cs="Arial" w:eastAsia="Arial" w:hAnsi="Arial"/>
          <w:b/>
          <w:bCs/>
          <w:color w:val="2D3436"/>
          <w:sz w:val="26"/>
          <w:szCs w:val="26"/>
        </w:rPr>
        <w:t xml:space="preserve">2.4 Provenance Chain for Every Record</w:t>
      </w:r>
    </w:p>
    <w:p>
      <w:pPr>
        <w:spacing w:after="160"/>
        <w:jc w:val="left"/>
      </w:pPr>
      <w:r>
        <w:rPr>
          <w:rFonts w:ascii="Arial" w:cs="Arial" w:eastAsia="Arial" w:hAnsi="Arial"/>
          <w:color w:val="2D3436"/>
          <w:sz w:val="22"/>
          <w:szCs w:val="22"/>
        </w:rPr>
        <w:t xml:space="preserve">Scientific reproducibility requires knowing exactly where every data point came from. Currently, records include pdf_source and source_type, but not the specific page, table, or passage.</w:t>
      </w:r>
    </w:p>
    <w:p>
      <w:pPr>
        <w:spacing w:after="160"/>
        <w:jc w:val="left"/>
      </w:pPr>
      <w:r>
        <w:rPr>
          <w:rFonts w:ascii="Arial" w:cs="Arial" w:eastAsia="Arial" w:hAnsi="Arial"/>
          <w:color w:val="2D3436"/>
          <w:sz w:val="22"/>
          <w:szCs w:val="22"/>
        </w:rPr>
        <w:t xml:space="preserve"/>
      </w:r>
      <w:r>
        <w:rPr>
          <w:rFonts w:ascii="Arial" w:cs="Arial" w:eastAsia="Arial" w:hAnsi="Arial"/>
          <w:b/>
          <w:bCs/>
          <w:color w:val="2D3436"/>
          <w:sz w:val="22"/>
          <w:szCs w:val="22"/>
        </w:rPr>
        <w:t xml:space="preserve">Recommendation:</w:t>
      </w:r>
      <w:r>
        <w:rPr>
          <w:rFonts w:ascii="Arial" w:cs="Arial" w:eastAsia="Arial" w:hAnsi="Arial"/>
          <w:color w:val="2D3436"/>
          <w:sz w:val="22"/>
          <w:szCs w:val="22"/>
        </w:rPr>
        <w:t xml:space="preserve"> Add three fields to the CSV schema:</w:t>
      </w:r>
    </w:p>
    <w:p>
      <w:pPr>
        <w:pStyle w:val="ListParagraph"/>
        <w:numPr>
          <w:ilvl w:val="0"/>
          <w:numId w:val="6"/>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source_page:</w:t>
      </w:r>
      <w:r>
        <w:rPr>
          <w:rFonts w:ascii="Arial" w:cs="Arial" w:eastAsia="Arial" w:hAnsi="Arial"/>
          <w:color w:val="2D3436"/>
          <w:sz w:val="22"/>
          <w:szCs w:val="22"/>
        </w:rPr>
        <w:t xml:space="preserve"> Page number(s) where the data was found</w:t>
      </w:r>
    </w:p>
    <w:p>
      <w:pPr>
        <w:pStyle w:val="ListParagraph"/>
        <w:numPr>
          <w:ilvl w:val="0"/>
          <w:numId w:val="6"/>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source_context:</w:t>
      </w:r>
      <w:r>
        <w:rPr>
          <w:rFonts w:ascii="Arial" w:cs="Arial" w:eastAsia="Arial" w:hAnsi="Arial"/>
          <w:color w:val="2D3436"/>
          <w:sz w:val="22"/>
          <w:szCs w:val="22"/>
        </w:rPr>
        <w:t xml:space="preserve"> The verbatim text passage or table row (truncated to 200 chars) that the record was extracted from</w:t>
      </w:r>
    </w:p>
    <w:p>
      <w:pPr>
        <w:pStyle w:val="ListParagraph"/>
        <w:numPr>
          <w:ilvl w:val="0"/>
          <w:numId w:val="6"/>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extraction_reasoning:</w:t>
      </w:r>
      <w:r>
        <w:rPr>
          <w:rFonts w:ascii="Arial" w:cs="Arial" w:eastAsia="Arial" w:hAnsi="Arial"/>
          <w:color w:val="2D3436"/>
          <w:sz w:val="22"/>
          <w:szCs w:val="22"/>
        </w:rPr>
        <w:t xml:space="preserve"> One-sentence note on why this value was chosen when ambiguity existed</w:t>
      </w:r>
    </w:p>
    <w:p>
      <w:pPr>
        <w:spacing w:after="160"/>
        <w:jc w:val="left"/>
      </w:pPr>
      <w:r>
        <w:rPr>
          <w:rFonts w:ascii="Arial" w:cs="Arial" w:eastAsia="Arial" w:hAnsi="Arial"/>
          <w:color w:val="2D3436"/>
          <w:sz w:val="22"/>
          <w:szCs w:val="22"/>
        </w:rPr>
        <w:t xml:space="preserve">This makes every record auditable without returning to the original PDF. It also provides training signal: when a human corrects a record, the source_context reveals whether the error was in reading vs. interpretation, enabling targeted guide.md improvements.</w:t>
      </w:r>
    </w:p>
    <w:p>
      <w:pPr>
        <w:pStyle w:val="Heading2"/>
        <w:spacing w:after="120" w:before="240"/>
      </w:pPr>
      <w:r>
        <w:rPr>
          <w:rFonts w:ascii="Arial" w:cs="Arial" w:eastAsia="Arial" w:hAnsi="Arial"/>
          <w:b/>
          <w:bCs/>
          <w:color w:val="2D3436"/>
          <w:sz w:val="26"/>
          <w:szCs w:val="26"/>
        </w:rPr>
        <w:t xml:space="preserve">2.5 Multi-Format Export and Interoperability</w:t>
      </w:r>
    </w:p>
    <w:p>
      <w:pPr>
        <w:spacing w:after="160"/>
        <w:jc w:val="left"/>
      </w:pPr>
      <w:r>
        <w:rPr>
          <w:rFonts w:ascii="Arial" w:cs="Arial" w:eastAsia="Arial" w:hAnsi="Arial"/>
          <w:color w:val="2D3436"/>
          <w:sz w:val="22"/>
          <w:szCs w:val="22"/>
        </w:rPr>
        <w:t xml:space="preserve">CSV is the right primary format, but downstream users need more. Adding export capabilities would dramatically increase the user base:</w:t>
      </w:r>
    </w:p>
    <w:p>
      <w:pPr>
        <w:pStyle w:val="ListParagraph"/>
        <w:numPr>
          <w:ilvl w:val="0"/>
          <w:numId w:val="7"/>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Darwin Core Archive:</w:t>
      </w:r>
      <w:r>
        <w:rPr>
          <w:rFonts w:ascii="Arial" w:cs="Arial" w:eastAsia="Arial" w:hAnsi="Arial"/>
          <w:color w:val="2D3436"/>
          <w:sz w:val="22"/>
          <w:szCs w:val="22"/>
        </w:rPr>
        <w:t xml:space="preserve"> Standard format for biodiversity databases (GBIF, iDigBio). A simple Python script mapping TraitTrawler fields to DwC terms would make every TraitTrawler dataset uploadable to global biodiversity infrastructure.</w:t>
      </w:r>
    </w:p>
    <w:p>
      <w:pPr>
        <w:pStyle w:val="ListParagraph"/>
        <w:numPr>
          <w:ilvl w:val="0"/>
          <w:numId w:val="7"/>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R data package:</w:t>
      </w:r>
      <w:r>
        <w:rPr>
          <w:rFonts w:ascii="Arial" w:cs="Arial" w:eastAsia="Arial" w:hAnsi="Arial"/>
          <w:color w:val="2D3436"/>
          <w:sz w:val="22"/>
          <w:szCs w:val="22"/>
        </w:rPr>
        <w:t xml:space="preserve"> Auto-generate an R package skeleton with the results.csv as package data, roxygen documentation generated from csv_schema.md, and a ready-to-cite CITATION file.</w:t>
      </w:r>
    </w:p>
    <w:p>
      <w:pPr>
        <w:pStyle w:val="ListParagraph"/>
        <w:numPr>
          <w:ilvl w:val="0"/>
          <w:numId w:val="7"/>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JSON-LD with schema.org annotations:</w:t>
      </w:r>
      <w:r>
        <w:rPr>
          <w:rFonts w:ascii="Arial" w:cs="Arial" w:eastAsia="Arial" w:hAnsi="Arial"/>
          <w:color w:val="2D3436"/>
          <w:sz w:val="22"/>
          <w:szCs w:val="22"/>
        </w:rPr>
        <w:t xml:space="preserve"> Machine-readable linked data for web discovery.</w:t>
      </w:r>
    </w:p>
    <w:p>
      <w:pPr>
        <w:spacing w:after="160"/>
        <w:jc w:val="left"/>
      </w:pPr>
      <w:r>
        <w:rPr>
          <w:rFonts w:ascii="Arial" w:cs="Arial" w:eastAsia="Arial" w:hAnsi="Arial"/>
          <w:color w:val="2D3436"/>
          <w:sz w:val="22"/>
          <w:szCs w:val="22"/>
        </w:rPr>
        <w:t xml:space="preserve">This positions TraitTrawler not just as an extraction tool but as a bridge between LLM-generated data and established scientific infrastructure.</w:t>
      </w:r>
    </w:p>
    <w:p>
      <w:r>
        <w:br w:type="page"/>
      </w:r>
    </w:p>
    <w:p>
      <w:pPr>
        <w:pStyle w:val="Heading1"/>
        <w:spacing w:after="120" w:before="360"/>
      </w:pPr>
      <w:r>
        <w:rPr>
          <w:rFonts w:ascii="Arial" w:cs="Arial" w:eastAsia="Arial" w:hAnsi="Arial"/>
          <w:b/>
          <w:bCs/>
          <w:color w:val="0D7377"/>
          <w:sz w:val="32"/>
          <w:szCs w:val="32"/>
        </w:rPr>
        <w:t xml:space="preserve">3. Strategic Positioning for Anthropic</w:t>
      </w:r>
    </w:p>
    <w:p>
      <w:pPr>
        <w:spacing w:after="160"/>
        <w:jc w:val="left"/>
      </w:pPr>
      <w:r>
        <w:rPr>
          <w:rFonts w:ascii="Arial" w:cs="Arial" w:eastAsia="Arial" w:hAnsi="Arial"/>
          <w:color w:val="2D3436"/>
          <w:sz w:val="22"/>
          <w:szCs w:val="22"/>
        </w:rPr>
        <w:t xml:space="preserve">Based on Anthropic’s published partnerships (Allen Institute, HHMI Janelia, Wiley) and their blog emphasis on scientific applications, here is what will get genuine engagement vs. a boilerplate response.</w:t>
      </w:r>
    </w:p>
    <w:p>
      <w:pPr>
        <w:pStyle w:val="Heading2"/>
        <w:spacing w:after="120" w:before="240"/>
      </w:pPr>
      <w:r>
        <w:rPr>
          <w:rFonts w:ascii="Arial" w:cs="Arial" w:eastAsia="Arial" w:hAnsi="Arial"/>
          <w:b/>
          <w:bCs/>
          <w:color w:val="2D3436"/>
          <w:sz w:val="26"/>
          <w:szCs w:val="26"/>
        </w:rPr>
        <w:t xml:space="preserve">3.1 Lead with the Science, Not the Skill</w:t>
      </w:r>
    </w:p>
    <w:p>
      <w:pPr>
        <w:spacing w:after="160"/>
        <w:jc w:val="left"/>
      </w:pPr>
      <w:r>
        <w:rPr>
          <w:rFonts w:ascii="Arial" w:cs="Arial" w:eastAsia="Arial" w:hAnsi="Arial"/>
          <w:color w:val="2D3436"/>
          <w:sz w:val="22"/>
          <w:szCs w:val="22"/>
        </w:rPr>
        <w:t xml:space="preserve">Anthropic’s science partnerships focus on “advancing domain-specific capabilities” and “responsible AI deployment in high-stakes fields.” The MEE manuscript is the most compelling asset. The submission to Anthropic should lead with:</w:t>
      </w:r>
    </w:p>
    <w:p>
      <w:pPr>
        <w:pStyle w:val="ListParagraph"/>
        <w:numPr>
          <w:ilvl w:val="0"/>
          <w:numId w:val="4"/>
        </w:numPr>
        <w:spacing w:after="100"/>
      </w:pPr>
      <w:r>
        <w:rPr>
          <w:rFonts w:ascii="Arial" w:cs="Arial" w:eastAsia="Arial" w:hAnsi="Arial"/>
          <w:color w:val="2D3436"/>
          <w:sz w:val="22"/>
          <w:szCs w:val="22"/>
        </w:rPr>
        <w:t xml:space="preserve">The validation study results (94.1% accuracy, peer-reviewed methodology)</w:t>
      </w:r>
    </w:p>
    <w:p>
      <w:pPr>
        <w:pStyle w:val="ListParagraph"/>
        <w:numPr>
          <w:ilvl w:val="0"/>
          <w:numId w:val="4"/>
        </w:numPr>
        <w:spacing w:after="100"/>
      </w:pPr>
      <w:r>
        <w:rPr>
          <w:rFonts w:ascii="Arial" w:cs="Arial" w:eastAsia="Arial" w:hAnsi="Arial"/>
          <w:color w:val="2D3436"/>
          <w:sz w:val="22"/>
          <w:szCs w:val="22"/>
        </w:rPr>
        <w:t xml:space="preserve">The finding that 28% of disagreements were real biological variation, not errors</w:t>
      </w:r>
    </w:p>
    <w:p>
      <w:pPr>
        <w:pStyle w:val="ListParagraph"/>
        <w:numPr>
          <w:ilvl w:val="0"/>
          <w:numId w:val="4"/>
        </w:numPr>
        <w:spacing w:after="100"/>
      </w:pPr>
      <w:r>
        <w:rPr>
          <w:rFonts w:ascii="Arial" w:cs="Arial" w:eastAsia="Arial" w:hAnsi="Arial"/>
          <w:color w:val="2D3436"/>
          <w:sz w:val="22"/>
          <w:szCs w:val="22"/>
        </w:rPr>
        <w:t xml:space="preserve">The efficiency gain (2 years → 15 hours)</w:t>
      </w:r>
    </w:p>
    <w:p>
      <w:pPr>
        <w:pStyle w:val="ListParagraph"/>
        <w:numPr>
          <w:ilvl w:val="0"/>
          <w:numId w:val="4"/>
        </w:numPr>
        <w:spacing w:after="100"/>
      </w:pPr>
      <w:r>
        <w:rPr>
          <w:rFonts w:ascii="Arial" w:cs="Arial" w:eastAsia="Arial" w:hAnsi="Arial"/>
          <w:color w:val="2D3436"/>
          <w:sz w:val="22"/>
          <w:szCs w:val="22"/>
        </w:rPr>
        <w:t xml:space="preserve">The fact that this is the first published autonomous scientific AI agent with rigorous accuracy benchmarks</w:t>
      </w:r>
    </w:p>
    <w:p>
      <w:pPr>
        <w:spacing w:after="160"/>
        <w:jc w:val="left"/>
      </w:pPr>
      <w:r>
        <w:rPr>
          <w:rFonts w:ascii="Arial" w:cs="Arial" w:eastAsia="Arial" w:hAnsi="Arial"/>
          <w:color w:val="2D3436"/>
          <w:sz w:val="22"/>
          <w:szCs w:val="22"/>
        </w:rPr>
        <w:t xml:space="preserve">Then frame the skill as the implementation that made this science possible.</w:t>
      </w:r>
    </w:p>
    <w:p>
      <w:pPr>
        <w:pStyle w:val="Heading2"/>
        <w:spacing w:after="120" w:before="240"/>
      </w:pPr>
      <w:r>
        <w:rPr>
          <w:rFonts w:ascii="Arial" w:cs="Arial" w:eastAsia="Arial" w:hAnsi="Arial"/>
          <w:b/>
          <w:bCs/>
          <w:color w:val="2D3436"/>
          <w:sz w:val="26"/>
          <w:szCs w:val="26"/>
        </w:rPr>
        <w:t xml:space="preserve">3.2 Emphasize the Platform Validation</w:t>
      </w:r>
    </w:p>
    <w:p>
      <w:pPr>
        <w:spacing w:after="160"/>
        <w:jc w:val="left"/>
      </w:pPr>
      <w:r>
        <w:rPr>
          <w:rFonts w:ascii="Arial" w:cs="Arial" w:eastAsia="Arial" w:hAnsi="Arial"/>
          <w:color w:val="2D3436"/>
          <w:sz w:val="22"/>
          <w:szCs w:val="22"/>
        </w:rPr>
        <w:t xml:space="preserve">TraitTrawler exercises nearly every capability of the Claude platform simultaneously: Cowork skills architecture, Claude in Chrome for proxy access, MCP servers (PubMed, bioRxiv, OpenAlex, Crossref), PDF vision, long-context processing, code execution, and persistent state management across sessions. No other community-built skill stress-tests this many platform features in a single autonomous workflow. This is valuable feedback for Anthropic’s product team regardless of the scientific content.</w:t>
      </w:r>
    </w:p>
    <w:p>
      <w:pPr>
        <w:pStyle w:val="Heading2"/>
        <w:spacing w:after="120" w:before="240"/>
      </w:pPr>
      <w:r>
        <w:rPr>
          <w:rFonts w:ascii="Arial" w:cs="Arial" w:eastAsia="Arial" w:hAnsi="Arial"/>
          <w:b/>
          <w:bCs/>
          <w:color w:val="2D3436"/>
          <w:sz w:val="26"/>
          <w:szCs w:val="26"/>
        </w:rPr>
        <w:t xml:space="preserve">3.3 Offer Concrete Collaboration Paths</w:t>
      </w:r>
    </w:p>
    <w:p>
      <w:pPr>
        <w:spacing w:after="160"/>
        <w:jc w:val="left"/>
      </w:pPr>
      <w:r>
        <w:rPr>
          <w:rFonts w:ascii="Arial" w:cs="Arial" w:eastAsia="Arial" w:hAnsi="Arial"/>
          <w:color w:val="2D3436"/>
          <w:sz w:val="22"/>
          <w:szCs w:val="22"/>
        </w:rPr>
        <w:t xml:space="preserve">Don’t just submit and hope. Propose specific ways Anthropic could engage:</w:t>
      </w:r>
    </w:p>
    <w:p>
      <w:pPr>
        <w:pStyle w:val="ListParagraph"/>
        <w:numPr>
          <w:ilvl w:val="0"/>
          <w:numId w:val="8"/>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Blog post co-authorship:</w:t>
      </w:r>
      <w:r>
        <w:rPr>
          <w:rFonts w:ascii="Arial" w:cs="Arial" w:eastAsia="Arial" w:hAnsi="Arial"/>
          <w:color w:val="2D3436"/>
          <w:sz w:val="22"/>
          <w:szCs w:val="22"/>
        </w:rPr>
        <w:t xml:space="preserve"> “How an evolutionary biologist built an autonomous literature-mining agent with Claude” — this writes itself as a developer story.</w:t>
      </w:r>
    </w:p>
    <w:p>
      <w:pPr>
        <w:pStyle w:val="ListParagraph"/>
        <w:numPr>
          <w:ilvl w:val="0"/>
          <w:numId w:val="8"/>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Featured skill in the marketplace:</w:t>
      </w:r>
      <w:r>
        <w:rPr>
          <w:rFonts w:ascii="Arial" w:cs="Arial" w:eastAsia="Arial" w:hAnsi="Arial"/>
          <w:color w:val="2D3436"/>
          <w:sz w:val="22"/>
          <w:szCs w:val="22"/>
        </w:rPr>
        <w:t xml:space="preserve"> TraitTrawler with the eval suite would be the first science-domain skill with published accuracy benchmarks.</w:t>
      </w:r>
    </w:p>
    <w:p>
      <w:pPr>
        <w:pStyle w:val="ListParagraph"/>
        <w:numPr>
          <w:ilvl w:val="0"/>
          <w:numId w:val="8"/>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Platform feedback loop:</w:t>
      </w:r>
      <w:r>
        <w:rPr>
          <w:rFonts w:ascii="Arial" w:cs="Arial" w:eastAsia="Arial" w:hAnsi="Arial"/>
          <w:color w:val="2D3436"/>
          <w:sz w:val="22"/>
          <w:szCs w:val="22"/>
        </w:rPr>
        <w:t xml:space="preserve"> Offer to provide structured feedback on Cowork/skill pain points encountered during development (the supplement with human-agent exchanges is gold for this).</w:t>
      </w:r>
    </w:p>
    <w:p>
      <w:pPr>
        <w:pStyle w:val="ListParagraph"/>
        <w:numPr>
          <w:ilvl w:val="0"/>
          <w:numId w:val="8"/>
        </w:numPr>
        <w:spacing w:after="100"/>
      </w:pPr>
      <w:r>
        <w:rPr>
          <w:rFonts w:ascii="Arial" w:cs="Arial" w:eastAsia="Arial" w:hAnsi="Arial"/>
          <w:color w:val="2D3436"/>
          <w:sz w:val="22"/>
          <w:szCs w:val="22"/>
        </w:rPr>
        <w:t xml:space="preserve"/>
      </w:r>
      <w:r>
        <w:rPr>
          <w:rFonts w:ascii="Arial" w:cs="Arial" w:eastAsia="Arial" w:hAnsi="Arial"/>
          <w:b/>
          <w:bCs/>
          <w:color w:val="2D3436"/>
          <w:sz w:val="22"/>
          <w:szCs w:val="22"/>
        </w:rPr>
        <w:t xml:space="preserve">Wiley partnership synergy:</w:t>
      </w:r>
      <w:r>
        <w:rPr>
          <w:rFonts w:ascii="Arial" w:cs="Arial" w:eastAsia="Arial" w:hAnsi="Arial"/>
          <w:color w:val="2D3436"/>
          <w:sz w:val="22"/>
          <w:szCs w:val="22"/>
        </w:rPr>
        <w:t xml:space="preserve"> TraitTrawler’s proxy-based full-text retrieval demonstrates exactly the kind of scientific literature access that Anthropic’s Wiley partnership enables. Position this as a use case that validates their partnership strategy.</w:t>
      </w:r>
    </w:p>
    <w:p>
      <w:pPr>
        <w:pStyle w:val="Heading2"/>
        <w:spacing w:after="120" w:before="240"/>
      </w:pPr>
      <w:r>
        <w:rPr>
          <w:rFonts w:ascii="Arial" w:cs="Arial" w:eastAsia="Arial" w:hAnsi="Arial"/>
          <w:b/>
          <w:bCs/>
          <w:color w:val="2D3436"/>
          <w:sz w:val="26"/>
          <w:szCs w:val="26"/>
        </w:rPr>
        <w:t xml:space="preserve">3.4 The Supplement Is Your Secret Weapon</w:t>
      </w:r>
    </w:p>
    <w:p>
      <w:pPr>
        <w:spacing w:after="160"/>
        <w:jc w:val="left"/>
      </w:pPr>
      <w:r>
        <w:rPr>
          <w:rFonts w:ascii="Arial" w:cs="Arial" w:eastAsia="Arial" w:hAnsi="Arial"/>
          <w:color w:val="2D3436"/>
          <w:sz w:val="22"/>
          <w:szCs w:val="22"/>
        </w:rPr>
        <w:t xml:space="preserve">The supplement documenting human-agent exchanges during TraitTrawler development is exactly what Anthropic’s skill authoring docs recommend: “Observe how Claude navigates Skills” and “Iterate based on these observations rather than assumptions.” This is observational data on agent behavior in a real scientific workflow. Frame it explicitly as agent behavioral data, not just a conversation log.</w:t>
      </w:r>
    </w:p>
    <w:p>
      <w:pPr>
        <w:spacing w:after="120"/>
      </w:pPr>
    </w:p>
    <w:p>
      <w:pPr>
        <w:pStyle w:val="Heading1"/>
        <w:spacing w:after="120" w:before="360"/>
      </w:pPr>
      <w:r>
        <w:rPr>
          <w:rFonts w:ascii="Arial" w:cs="Arial" w:eastAsia="Arial" w:hAnsi="Arial"/>
          <w:b/>
          <w:bCs/>
          <w:color w:val="0D7377"/>
          <w:sz w:val="32"/>
          <w:szCs w:val="32"/>
        </w:rPr>
        <w:t xml:space="preserve">4. Implementation Priority</w:t>
      </w:r>
    </w:p>
    <w:p>
      <w:pPr>
        <w:spacing w:after="160"/>
        <w:jc w:val="left"/>
      </w:pPr>
      <w:r>
        <w:rPr>
          <w:rFonts w:ascii="Arial" w:cs="Arial" w:eastAsia="Arial" w:hAnsi="Arial"/>
          <w:color w:val="2D3436"/>
          <w:sz w:val="22"/>
          <w:szCs w:val="22"/>
        </w:rPr>
        <w:t xml:space="preserve">Ordered by impact-to-effort ratio for a submission to Anthropic. Items 1–3 are necessary for the submission to be taken seriously. Items 4–7 would elevate it from “good skill” to “flagship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400"/>
        <w:gridCol w:w="1400"/>
        <w:gridCol w:w="2060"/>
      </w:tblGrid>
      <w:tr>
        <w:tc>
          <w:tcPr>
            <w:tcW w:type="dxa" w:w="5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6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Enhancement</w:t>
            </w:r>
          </w:p>
        </w:tc>
        <w:tc>
          <w:tcPr>
            <w:tcW w:type="dxa" w:w="14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14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06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Serves</w:t>
            </w:r>
          </w:p>
        </w:tc>
      </w:tr>
      <w:tr>
        <w:tc>
          <w:tcPr>
            <w:tcW w:type="dxa" w:w="5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left"/>
            </w:pPr>
            <w:r>
              <w:rPr>
                <w:rFonts w:ascii="Arial" w:cs="Arial" w:eastAsia="Arial" w:hAnsi="Arial"/>
                <w:color w:val="2D3436"/>
                <w:sz w:val="20"/>
                <w:szCs w:val="20"/>
              </w:rPr>
              <w:t xml:space="preserve">1</w:t>
            </w:r>
          </w:p>
        </w:tc>
        <w:tc>
          <w:tcPr>
            <w:tcW w:type="dxa" w:w="36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left"/>
            </w:pPr>
            <w:r>
              <w:rPr>
                <w:rFonts w:ascii="Arial" w:cs="Arial" w:eastAsia="Arial" w:hAnsi="Arial"/>
                <w:color w:val="2D3436"/>
                <w:sz w:val="20"/>
                <w:szCs w:val="20"/>
              </w:rPr>
              <w:t xml:space="preserve">Split SKILL.md (§1.1)</w:t>
            </w:r>
          </w:p>
        </w:tc>
        <w:tc>
          <w:tcPr>
            <w:tcW w:type="dxa" w:w="14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2 hours</w:t>
            </w:r>
          </w:p>
        </w:tc>
        <w:tc>
          <w:tcPr>
            <w:tcW w:type="dxa" w:w="14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Critical</w:t>
            </w:r>
          </w:p>
        </w:tc>
        <w:tc>
          <w:tcPr>
            <w:tcW w:type="dxa" w:w="206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Compliance</w:t>
            </w:r>
          </w:p>
        </w:tc>
      </w:tr>
      <w:tr>
        <w:tc>
          <w:tcPr>
            <w:tcW w:type="dxa" w:w="5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left"/>
            </w:pPr>
            <w:r>
              <w:rPr>
                <w:rFonts w:ascii="Arial" w:cs="Arial" w:eastAsia="Arial" w:hAnsi="Arial"/>
                <w:color w:val="2D3436"/>
                <w:sz w:val="20"/>
                <w:szCs w:val="20"/>
              </w:rPr>
              <w:t xml:space="preserve">2</w:t>
            </w:r>
          </w:p>
        </w:tc>
        <w:tc>
          <w:tcPr>
            <w:tcW w:type="dxa" w:w="36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left"/>
            </w:pPr>
            <w:r>
              <w:rPr>
                <w:rFonts w:ascii="Arial" w:cs="Arial" w:eastAsia="Arial" w:hAnsi="Arial"/>
                <w:color w:val="2D3436"/>
                <w:sz w:val="20"/>
                <w:szCs w:val="20"/>
              </w:rPr>
              <w:t xml:space="preserve">Create eval suite (§1.4)</w:t>
            </w:r>
          </w:p>
        </w:tc>
        <w:tc>
          <w:tcPr>
            <w:tcW w:type="dxa" w:w="14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4 hours</w:t>
            </w:r>
          </w:p>
        </w:tc>
        <w:tc>
          <w:tcPr>
            <w:tcW w:type="dxa" w:w="14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Critical</w:t>
            </w:r>
          </w:p>
        </w:tc>
        <w:tc>
          <w:tcPr>
            <w:tcW w:type="dxa" w:w="206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Compliance</w:t>
            </w:r>
          </w:p>
        </w:tc>
      </w:tr>
      <w:tr>
        <w:tc>
          <w:tcPr>
            <w:tcW w:type="dxa" w:w="5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left"/>
            </w:pPr>
            <w:r>
              <w:rPr>
                <w:rFonts w:ascii="Arial" w:cs="Arial" w:eastAsia="Arial" w:hAnsi="Arial"/>
                <w:color w:val="2D3436"/>
                <w:sz w:val="20"/>
                <w:szCs w:val="20"/>
              </w:rPr>
              <w:t xml:space="preserve">3</w:t>
            </w:r>
          </w:p>
        </w:tc>
        <w:tc>
          <w:tcPr>
            <w:tcW w:type="dxa" w:w="36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left"/>
            </w:pPr>
            <w:r>
              <w:rPr>
                <w:rFonts w:ascii="Arial" w:cs="Arial" w:eastAsia="Arial" w:hAnsi="Arial"/>
                <w:color w:val="2D3436"/>
                <w:sz w:val="20"/>
                <w:szCs w:val="20"/>
              </w:rPr>
              <w:t xml:space="preserve">Rewrite description (§1.2)</w:t>
            </w:r>
          </w:p>
        </w:tc>
        <w:tc>
          <w:tcPr>
            <w:tcW w:type="dxa" w:w="14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15 min</w:t>
            </w:r>
          </w:p>
        </w:tc>
        <w:tc>
          <w:tcPr>
            <w:tcW w:type="dxa" w:w="140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High</w:t>
            </w:r>
          </w:p>
        </w:tc>
        <w:tc>
          <w:tcPr>
            <w:tcW w:type="dxa" w:w="2060"/>
            <w:tcBorders>
              <w:top w:val="single" w:color="DEE2E6" w:sz="1"/>
              <w:left w:val="single" w:color="DEE2E6" w:sz="1"/>
              <w:bottom w:val="single" w:color="DEE2E6" w:sz="1"/>
              <w:right w:val="single" w:color="DEE2E6" w:sz="1"/>
            </w:tcBorders>
            <w:shd w:fill="FDE8E2" w:val="clear"/>
            <w:tcMar>
              <w:top w:type="dxa" w:w="80"/>
              <w:left w:type="dxa" w:w="120"/>
              <w:bottom w:type="dxa" w:w="80"/>
              <w:right w:type="dxa" w:w="120"/>
            </w:tcMar>
          </w:tcPr>
          <w:p>
            <w:pPr>
              <w:jc w:val="center"/>
            </w:pPr>
            <w:r>
              <w:rPr>
                <w:rFonts w:ascii="Arial" w:cs="Arial" w:eastAsia="Arial" w:hAnsi="Arial"/>
                <w:color w:val="2D3436"/>
                <w:sz w:val="20"/>
                <w:szCs w:val="20"/>
              </w:rPr>
              <w:t xml:space="preserve">Discovery</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4</w:t>
            </w:r>
          </w:p>
        </w:tc>
        <w:tc>
          <w:tcPr>
            <w:tcW w:type="dxa" w:w="3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verify_session.py (§2.1)</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3 hours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High</w:t>
            </w:r>
          </w:p>
        </w:tc>
        <w:tc>
          <w:tcPr>
            <w:tcW w:type="dxa" w:w="20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Science + Eng</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5</w:t>
            </w:r>
          </w:p>
        </w:tc>
        <w:tc>
          <w:tcPr>
            <w:tcW w:type="dxa" w:w="3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Provenance chain (§2.4)</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2 hours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High</w:t>
            </w:r>
          </w:p>
        </w:tc>
        <w:tc>
          <w:tcPr>
            <w:tcW w:type="dxa" w:w="20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Science</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6</w:t>
            </w:r>
          </w:p>
        </w:tc>
        <w:tc>
          <w:tcPr>
            <w:tcW w:type="dxa" w:w="3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Self-improving guide (§2.3)</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6 hours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Very high</w:t>
            </w:r>
          </w:p>
        </w:tc>
        <w:tc>
          <w:tcPr>
            <w:tcW w:type="dxa" w:w="20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Vision</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7</w:t>
            </w:r>
          </w:p>
        </w:tc>
        <w:tc>
          <w:tcPr>
            <w:tcW w:type="dxa" w:w="3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Darwin Core export (§2.5)</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4 hours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Medium</w:t>
            </w:r>
          </w:p>
        </w:tc>
        <w:tc>
          <w:tcPr>
            <w:tcW w:type="dxa" w:w="20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Adoption</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8</w:t>
            </w:r>
          </w:p>
        </w:tc>
        <w:tc>
          <w:tcPr>
            <w:tcW w:type="dxa" w:w="3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left"/>
            </w:pPr>
            <w:r>
              <w:rPr>
                <w:rFonts w:ascii="Arial" w:cs="Arial" w:eastAsia="Arial" w:hAnsi="Arial"/>
                <w:color w:val="2D3436"/>
                <w:sz w:val="20"/>
                <w:szCs w:val="20"/>
              </w:rPr>
              <w:t xml:space="preserve">Extraction plans (§2.2)</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4 hours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Medium</w:t>
            </w:r>
          </w:p>
        </w:tc>
        <w:tc>
          <w:tcPr>
            <w:tcW w:type="dxa" w:w="20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Arial" w:cs="Arial" w:eastAsia="Arial" w:hAnsi="Arial"/>
                <w:color w:val="2D3436"/>
                <w:sz w:val="20"/>
                <w:szCs w:val="20"/>
              </w:rPr>
              <w:t xml:space="preserve">Engineering</w:t>
            </w:r>
          </w:p>
        </w:tc>
      </w:tr>
    </w:tbl>
    <w:p>
      <w:pPr>
        <w:spacing w:after="120"/>
      </w:pPr>
    </w:p>
    <w:p>
      <w:pPr>
        <w:spacing w:after="160"/>
        <w:jc w:val="left"/>
      </w:pPr>
      <w:r>
        <w:rPr>
          <w:rFonts w:ascii="Arial" w:cs="Arial" w:eastAsia="Arial" w:hAnsi="Arial"/>
          <w:color w:val="2D3436"/>
          <w:sz w:val="22"/>
          <w:szCs w:val="22"/>
        </w:rPr>
        <w:t xml:space="preserve">The red-highlighted rows are the minimum viable submission. Without the SKILL.md split and eval suite, the submission looks like a scientist sharing a cool project. With them, it looks like a developer who understands Anthropic’s platform and has built something production-grade on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0D7377" w:val="clear"/>
          </w:tcPr>
          <w:p>
            <w:r>
              <w:t xml:space="preserve"/>
            </w:r>
          </w:p>
        </w:tc>
        <w:tc>
          <w:tcPr>
            <w:tcW w:type="dxa" w:w="9160"/>
            <w:tcBorders>
              <w:top w:val="none" w:sz="0"/>
              <w:left w:val="none" w:sz="0"/>
              <w:bottom w:val="none" w:sz="0"/>
              <w:right w:val="none" w:sz="0"/>
            </w:tcBorders>
            <w:shd w:fill="E8F5F5" w:val="clear"/>
            <w:tcMar>
              <w:top w:type="dxa" w:w="120"/>
              <w:left w:type="dxa" w:w="200"/>
              <w:bottom w:type="dxa" w:w="120"/>
              <w:right w:type="dxa" w:w="200"/>
            </w:tcMar>
          </w:tcPr>
          <w:p>
            <w:pPr>
              <w:spacing w:after="60"/>
            </w:pPr>
            <w:r>
              <w:rPr>
                <w:rFonts w:ascii="Arial" w:cs="Arial" w:eastAsia="Arial" w:hAnsi="Arial"/>
                <w:b/>
                <w:bCs/>
                <w:color w:val="0D7377"/>
                <w:sz w:val="22"/>
                <w:szCs w:val="22"/>
              </w:rPr>
              <w:t xml:space="preserve">Bottom Line</w:t>
            </w:r>
          </w:p>
          <w:p>
            <w:pPr>
              <w:spacing w:after="0"/>
            </w:pPr>
            <w:r>
              <w:rPr>
                <w:rFonts w:ascii="Arial" w:cs="Arial" w:eastAsia="Arial" w:hAnsi="Arial"/>
                <w:color w:val="2D3436"/>
                <w:sz w:val="20"/>
                <w:szCs w:val="20"/>
              </w:rPr>
              <w:t xml:space="preserve">TraitTrawler is already the most scientifically rigorous autonomous agent built on the Claude platform. The validation study alone justifies Anthropic’s attention. The recommended enhancements transform it from an impressive academic project into a platform showcase that demonstrates what Claude can do when given domain expertise, structured tooling, and the freedom to operate autonomously. This is the story Anthropic wants to tell.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8"/>
        <w:szCs w:val="18"/>
      </w:rPr>
      <w:t xml:space="preserve">Page </w:t>
    </w:r>
    <w:r>
      <w:rPr>
        <w:rFonts w:ascii="Arial" w:cs="Arial" w:eastAsia="Arial" w:hAnsi="Arial"/>
        <w:color w:val="636E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8"/>
        <w:szCs w:val="18"/>
      </w:rPr>
      <w:t xml:space="preserve">TraitTrawler —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737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343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4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2026-03-25T03:33:13.292Z</dcterms:created>
  <dcterms:modified xsi:type="dcterms:W3CDTF">2026-03-25T03:33:13.292Z</dcterms:modified>
</cp:coreProperties>
</file>

<file path=docProps/custom.xml><?xml version="1.0" encoding="utf-8"?>
<Properties xmlns="http://schemas.openxmlformats.org/officeDocument/2006/custom-properties" xmlns:vt="http://schemas.openxmlformats.org/officeDocument/2006/docPropsVTypes"/>
</file>