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szCs w:val="24"/>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szCs w:val="24"/>
        </w:rPr>
        <w:t xml:space="preserve"> </w:t>
      </w:r>
      <w:r w:rsidR="00025B97" w:rsidRPr="00025B97">
        <w:t>Experimental Design in Biology</w:t>
      </w:r>
      <w:r w:rsidRPr="00025B97">
        <w:tab/>
      </w:r>
    </w:p>
    <w:p w14:paraId="45C68C43" w14:textId="7AFE2F76" w:rsidR="002E5024" w:rsidRDefault="002E5024" w:rsidP="002E5024">
      <w:pPr>
        <w:tabs>
          <w:tab w:val="left" w:pos="2160"/>
        </w:tabs>
      </w:pPr>
      <w:r>
        <w:t xml:space="preserve">Time: </w:t>
      </w:r>
      <w:r w:rsidR="00025B97" w:rsidRPr="00025B97">
        <w:t>TR 3:15-4:30</w:t>
      </w:r>
      <w:r>
        <w:tab/>
      </w:r>
    </w:p>
    <w:p w14:paraId="6CFFD143" w14:textId="0F7BDBFF" w:rsidR="002E5024" w:rsidRDefault="002E5024" w:rsidP="002E5024">
      <w:pPr>
        <w:tabs>
          <w:tab w:val="left" w:pos="2160"/>
        </w:tabs>
      </w:pPr>
      <w:r>
        <w:t>Location:</w:t>
      </w:r>
      <w:r w:rsidR="00025B97">
        <w:t xml:space="preserve"> online only</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sz w:val="24"/>
          <w:szCs w:val="24"/>
        </w:rPr>
        <w:t xml:space="preserve"> </w:t>
      </w:r>
      <w:r w:rsidR="00025B97" w:rsidRPr="00025B97">
        <w:t>Dr. Heath Blackmon</w:t>
      </w:r>
      <w:r>
        <w:tab/>
      </w:r>
    </w:p>
    <w:p w14:paraId="4894FEB1" w14:textId="70D4A94B" w:rsidR="002E5024" w:rsidRDefault="002E5024" w:rsidP="002E5024">
      <w:pPr>
        <w:tabs>
          <w:tab w:val="left" w:pos="2160"/>
        </w:tabs>
      </w:pPr>
      <w:r>
        <w:t>Office:</w:t>
      </w:r>
      <w:r w:rsidR="00025B97">
        <w:t xml:space="preserve"> BSBW 309</w:t>
      </w:r>
      <w:r>
        <w:tab/>
      </w:r>
    </w:p>
    <w:p w14:paraId="16FBAB76" w14:textId="3749D74E" w:rsidR="002E5024" w:rsidRDefault="002E5024" w:rsidP="002E5024">
      <w:pPr>
        <w:tabs>
          <w:tab w:val="left" w:pos="2160"/>
        </w:tabs>
      </w:pPr>
      <w:r>
        <w:t>Phone:</w:t>
      </w:r>
      <w:r w:rsidR="00025B97">
        <w:t xml:space="preserve"> 979-862-4880</w:t>
      </w:r>
      <w:r>
        <w:tab/>
      </w:r>
    </w:p>
    <w:p w14:paraId="4FED9B91" w14:textId="41D6E9EA" w:rsidR="002E5024" w:rsidRDefault="002E5024" w:rsidP="002E5024">
      <w:pPr>
        <w:tabs>
          <w:tab w:val="left" w:pos="2160"/>
        </w:tabs>
      </w:pPr>
      <w:r>
        <w:t>E-Mail:</w:t>
      </w:r>
      <w:r w:rsidR="00025B97">
        <w:t xml:space="preserve"> blackmon@tamu.edu</w:t>
      </w:r>
      <w:r>
        <w:tab/>
      </w:r>
    </w:p>
    <w:p w14:paraId="6975F160" w14:textId="57244255" w:rsidR="002E5024" w:rsidRDefault="002E5024" w:rsidP="002E5024">
      <w:pPr>
        <w:tabs>
          <w:tab w:val="left" w:pos="2160"/>
        </w:tabs>
      </w:pPr>
      <w:r>
        <w:t>Office Hours:</w:t>
      </w:r>
      <w:r w:rsidR="00025B97">
        <w:t xml:space="preserve"> by appointment</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13154F4D" w:rsidR="00281D66" w:rsidRPr="00025B97" w:rsidRDefault="00025B97" w:rsidP="00281D66">
      <w:pPr>
        <w:rPr>
          <w:iCs/>
        </w:rPr>
      </w:pPr>
      <w:r w:rsidRPr="00025B97">
        <w:rPr>
          <w:iCs/>
        </w:rPr>
        <w:t>Qualifies as a quantitative elective in the EEB IDP</w:t>
      </w:r>
      <w:r w:rsidR="00EF1ABC" w:rsidRPr="00025B97">
        <w:rPr>
          <w:iCs/>
        </w:rPr>
        <w:t>.</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69E37A79" w14:textId="6B5B9686" w:rsidR="00281D66" w:rsidRPr="00C37313" w:rsidRDefault="00025B97" w:rsidP="00281D66">
      <w:pPr>
        <w:rPr>
          <w:i/>
        </w:rPr>
      </w:pPr>
      <w:r w:rsidRPr="00025B97">
        <w:rPr>
          <w:i/>
        </w:rPr>
        <w:t xml:space="preserve">The Analysis of Biological Data, Second Edition by Michael C. Whitlock and </w:t>
      </w:r>
      <w:proofErr w:type="spellStart"/>
      <w:r w:rsidRPr="00025B97">
        <w:rPr>
          <w:i/>
        </w:rPr>
        <w:t>Dolph</w:t>
      </w:r>
      <w:proofErr w:type="spellEnd"/>
      <w:r w:rsidRPr="00025B97">
        <w:rPr>
          <w:i/>
        </w:rPr>
        <w:t xml:space="preserve"> Schluter (</w:t>
      </w:r>
      <w:proofErr w:type="spellStart"/>
      <w:r>
        <w:rPr>
          <w:i/>
        </w:rPr>
        <w:t>reccomended</w:t>
      </w:r>
      <w:proofErr w:type="spellEnd"/>
      <w:r w:rsidRPr="00025B97">
        <w:rPr>
          <w:i/>
        </w:rPr>
        <w:t>).</w:t>
      </w:r>
    </w:p>
    <w:p w14:paraId="56DE5DFB" w14:textId="77777777" w:rsidR="00281D66" w:rsidRDefault="00281D66" w:rsidP="00281D66"/>
    <w:p w14:paraId="2CD3CC62" w14:textId="77777777" w:rsidR="00281D66" w:rsidRDefault="00281D66" w:rsidP="00B23E26">
      <w:pPr>
        <w:pStyle w:val="Heading3"/>
      </w:pPr>
      <w:r>
        <w:lastRenderedPageBreak/>
        <w:t>Grading Policy</w:t>
      </w:r>
    </w:p>
    <w:p w14:paraId="54549DF2" w14:textId="77777777" w:rsidR="00281D66" w:rsidRDefault="00281D66" w:rsidP="00B23E26">
      <w:pPr>
        <w:keepNext/>
      </w:pPr>
    </w:p>
    <w:p w14:paraId="29A9ADCA" w14:textId="722E6E15" w:rsidR="00025B97" w:rsidRPr="002916C1" w:rsidRDefault="00025B97" w:rsidP="00025B97">
      <w:pPr>
        <w:rPr>
          <w:rFonts w:ascii="Cambria" w:hAnsi="Cambria" w:cs="Calibri"/>
        </w:rPr>
      </w:pPr>
      <w:r w:rsidRPr="002916C1">
        <w:rPr>
          <w:rFonts w:ascii="Cambria" w:hAnsi="Cambria" w:cs="Calibri"/>
        </w:rPr>
        <w:t xml:space="preserve">A total of 400 points are available in the course: </w:t>
      </w:r>
      <w:r>
        <w:rPr>
          <w:rFonts w:ascii="Cambria" w:hAnsi="Cambria" w:cs="Calibri"/>
        </w:rPr>
        <w:t>5</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 two exams (100 points each), and </w:t>
      </w:r>
      <w:r w:rsidR="00456671">
        <w:rPr>
          <w:rFonts w:ascii="Cambria" w:hAnsi="Cambria" w:cs="Calibri"/>
        </w:rPr>
        <w:t xml:space="preserve">a </w:t>
      </w:r>
      <w:r>
        <w:rPr>
          <w:rFonts w:ascii="Cambria" w:hAnsi="Cambria" w:cs="Calibri"/>
        </w:rPr>
        <w:t xml:space="preserve">final project </w:t>
      </w:r>
      <w:r w:rsidRPr="002916C1">
        <w:rPr>
          <w:rFonts w:ascii="Cambria" w:hAnsi="Cambria" w:cs="Calibri"/>
        </w:rPr>
        <w:t>(</w:t>
      </w:r>
      <w:r>
        <w:rPr>
          <w:rFonts w:ascii="Cambria" w:hAnsi="Cambria" w:cs="Calibri"/>
        </w:rPr>
        <w:t>100</w:t>
      </w:r>
      <w:r w:rsidRPr="002916C1">
        <w:rPr>
          <w:rFonts w:ascii="Cambria" w:hAnsi="Cambria" w:cs="Calibri"/>
        </w:rPr>
        <w:t xml:space="preserve"> points).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5824E4D2" w14:textId="77777777" w:rsidR="00805DE2" w:rsidRDefault="00805DE2" w:rsidP="00B23E26">
      <w:pPr>
        <w:pStyle w:val="Heading3"/>
      </w:pPr>
      <w:r>
        <w:t>Course Schedule</w:t>
      </w:r>
    </w:p>
    <w:p w14:paraId="1A6B3E68" w14:textId="77777777" w:rsidR="00805DE2" w:rsidRDefault="00805DE2" w:rsidP="00B23E26">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1879"/>
        <w:gridCol w:w="3510"/>
      </w:tblGrid>
      <w:tr w:rsidR="00025B97" w:rsidRPr="00025B97" w14:paraId="20093297" w14:textId="77777777" w:rsidTr="00025B97">
        <w:trPr>
          <w:trHeight w:val="320"/>
        </w:trPr>
        <w:tc>
          <w:tcPr>
            <w:tcW w:w="731" w:type="dxa"/>
            <w:tcBorders>
              <w:top w:val="single" w:sz="4" w:space="0" w:color="auto"/>
              <w:bottom w:val="single" w:sz="4" w:space="0" w:color="auto"/>
            </w:tcBorders>
            <w:noWrap/>
            <w:hideMark/>
          </w:tcPr>
          <w:p w14:paraId="0A781214" w14:textId="1ACE8173" w:rsidR="00025B97" w:rsidRPr="00025B97" w:rsidRDefault="00025B97">
            <w:r>
              <w:t>W</w:t>
            </w:r>
            <w:r w:rsidRPr="00025B97">
              <w:t>eek</w:t>
            </w:r>
          </w:p>
        </w:tc>
        <w:tc>
          <w:tcPr>
            <w:tcW w:w="1879" w:type="dxa"/>
            <w:tcBorders>
              <w:top w:val="single" w:sz="4" w:space="0" w:color="auto"/>
              <w:bottom w:val="single" w:sz="4" w:space="0" w:color="auto"/>
            </w:tcBorders>
            <w:noWrap/>
            <w:hideMark/>
          </w:tcPr>
          <w:p w14:paraId="3B5A407D" w14:textId="77777777" w:rsidR="00025B97" w:rsidRPr="00025B97" w:rsidRDefault="00025B97">
            <w:r w:rsidRPr="00025B97">
              <w:t>Dates</w:t>
            </w:r>
          </w:p>
        </w:tc>
        <w:tc>
          <w:tcPr>
            <w:tcW w:w="3510" w:type="dxa"/>
            <w:tcBorders>
              <w:top w:val="single" w:sz="4" w:space="0" w:color="auto"/>
              <w:bottom w:val="single" w:sz="4" w:space="0" w:color="auto"/>
            </w:tcBorders>
            <w:noWrap/>
            <w:hideMark/>
          </w:tcPr>
          <w:p w14:paraId="1068D03B" w14:textId="77777777" w:rsidR="00025B97" w:rsidRPr="00025B97" w:rsidRDefault="00025B97">
            <w:r w:rsidRPr="00025B97">
              <w:t>Topic</w:t>
            </w:r>
          </w:p>
        </w:tc>
      </w:tr>
      <w:tr w:rsidR="00025B97" w:rsidRPr="00025B97" w14:paraId="49C0DE86" w14:textId="77777777" w:rsidTr="00025B97">
        <w:trPr>
          <w:trHeight w:val="320"/>
        </w:trPr>
        <w:tc>
          <w:tcPr>
            <w:tcW w:w="731" w:type="dxa"/>
            <w:tcBorders>
              <w:top w:val="single" w:sz="4" w:space="0" w:color="auto"/>
            </w:tcBorders>
            <w:noWrap/>
            <w:hideMark/>
          </w:tcPr>
          <w:p w14:paraId="1BE68574" w14:textId="77777777" w:rsidR="00025B97" w:rsidRPr="00025B97" w:rsidRDefault="00025B97">
            <w:r w:rsidRPr="00025B97">
              <w:t>1</w:t>
            </w:r>
          </w:p>
        </w:tc>
        <w:tc>
          <w:tcPr>
            <w:tcW w:w="1879" w:type="dxa"/>
            <w:tcBorders>
              <w:top w:val="single" w:sz="4" w:space="0" w:color="auto"/>
            </w:tcBorders>
            <w:noWrap/>
            <w:hideMark/>
          </w:tcPr>
          <w:p w14:paraId="759A6843" w14:textId="77777777" w:rsidR="00025B97" w:rsidRPr="00025B97" w:rsidRDefault="00025B97">
            <w:r w:rsidRPr="00025B97">
              <w:t>Jan 19 and 21</w:t>
            </w:r>
          </w:p>
        </w:tc>
        <w:tc>
          <w:tcPr>
            <w:tcW w:w="3510" w:type="dxa"/>
            <w:tcBorders>
              <w:top w:val="single" w:sz="4" w:space="0" w:color="auto"/>
            </w:tcBorders>
            <w:noWrap/>
            <w:hideMark/>
          </w:tcPr>
          <w:p w14:paraId="3F9ECA3A" w14:textId="77777777" w:rsidR="00025B97" w:rsidRPr="00025B97" w:rsidRDefault="00025B97">
            <w:r w:rsidRPr="00025B97">
              <w:t>Intro and motivation</w:t>
            </w:r>
          </w:p>
        </w:tc>
      </w:tr>
      <w:tr w:rsidR="00025B97" w:rsidRPr="00025B97" w14:paraId="6725F112" w14:textId="77777777" w:rsidTr="00025B97">
        <w:trPr>
          <w:trHeight w:val="320"/>
        </w:trPr>
        <w:tc>
          <w:tcPr>
            <w:tcW w:w="731" w:type="dxa"/>
            <w:noWrap/>
            <w:hideMark/>
          </w:tcPr>
          <w:p w14:paraId="07259127" w14:textId="77777777" w:rsidR="00025B97" w:rsidRPr="00025B97" w:rsidRDefault="00025B97">
            <w:r w:rsidRPr="00025B97">
              <w:t>2</w:t>
            </w:r>
          </w:p>
        </w:tc>
        <w:tc>
          <w:tcPr>
            <w:tcW w:w="1879" w:type="dxa"/>
            <w:noWrap/>
            <w:hideMark/>
          </w:tcPr>
          <w:p w14:paraId="473E29CF" w14:textId="77777777" w:rsidR="00025B97" w:rsidRPr="00025B97" w:rsidRDefault="00025B97">
            <w:r w:rsidRPr="00025B97">
              <w:t>Jan 26 and 29</w:t>
            </w:r>
          </w:p>
        </w:tc>
        <w:tc>
          <w:tcPr>
            <w:tcW w:w="3510" w:type="dxa"/>
            <w:noWrap/>
            <w:hideMark/>
          </w:tcPr>
          <w:p w14:paraId="36D6BD38" w14:textId="77777777" w:rsidR="00025B97" w:rsidRPr="00025B97" w:rsidRDefault="00025B97">
            <w:r w:rsidRPr="00025B97">
              <w:t>Visualizing data</w:t>
            </w:r>
          </w:p>
        </w:tc>
      </w:tr>
      <w:tr w:rsidR="00025B97" w:rsidRPr="00025B97" w14:paraId="669901C6" w14:textId="77777777" w:rsidTr="00025B97">
        <w:trPr>
          <w:trHeight w:val="320"/>
        </w:trPr>
        <w:tc>
          <w:tcPr>
            <w:tcW w:w="731" w:type="dxa"/>
            <w:noWrap/>
            <w:hideMark/>
          </w:tcPr>
          <w:p w14:paraId="359E36AD" w14:textId="77777777" w:rsidR="00025B97" w:rsidRPr="00025B97" w:rsidRDefault="00025B97">
            <w:r w:rsidRPr="00025B97">
              <w:t>3</w:t>
            </w:r>
          </w:p>
        </w:tc>
        <w:tc>
          <w:tcPr>
            <w:tcW w:w="1879" w:type="dxa"/>
            <w:noWrap/>
            <w:hideMark/>
          </w:tcPr>
          <w:p w14:paraId="11A45D59" w14:textId="77777777" w:rsidR="00025B97" w:rsidRPr="00025B97" w:rsidRDefault="00025B97">
            <w:r w:rsidRPr="00025B97">
              <w:t>Feb 2 and 4</w:t>
            </w:r>
          </w:p>
        </w:tc>
        <w:tc>
          <w:tcPr>
            <w:tcW w:w="3510" w:type="dxa"/>
            <w:noWrap/>
            <w:hideMark/>
          </w:tcPr>
          <w:p w14:paraId="699DD248" w14:textId="77777777" w:rsidR="00025B97" w:rsidRPr="00025B97" w:rsidRDefault="00025B97">
            <w:r w:rsidRPr="00025B97">
              <w:t>Summaries and uncertainty</w:t>
            </w:r>
          </w:p>
        </w:tc>
      </w:tr>
      <w:tr w:rsidR="00025B97" w:rsidRPr="00025B97" w14:paraId="682E4E4B" w14:textId="77777777" w:rsidTr="00025B97">
        <w:trPr>
          <w:trHeight w:val="320"/>
        </w:trPr>
        <w:tc>
          <w:tcPr>
            <w:tcW w:w="731" w:type="dxa"/>
            <w:noWrap/>
            <w:hideMark/>
          </w:tcPr>
          <w:p w14:paraId="16E5FF2B" w14:textId="77777777" w:rsidR="00025B97" w:rsidRPr="00025B97" w:rsidRDefault="00025B97">
            <w:r w:rsidRPr="00025B97">
              <w:t>4</w:t>
            </w:r>
          </w:p>
        </w:tc>
        <w:tc>
          <w:tcPr>
            <w:tcW w:w="1879" w:type="dxa"/>
            <w:noWrap/>
            <w:hideMark/>
          </w:tcPr>
          <w:p w14:paraId="107AE03A" w14:textId="77777777" w:rsidR="00025B97" w:rsidRPr="00025B97" w:rsidRDefault="00025B97">
            <w:r w:rsidRPr="00025B97">
              <w:t>Feb 9 and 11</w:t>
            </w:r>
          </w:p>
        </w:tc>
        <w:tc>
          <w:tcPr>
            <w:tcW w:w="3510" w:type="dxa"/>
            <w:noWrap/>
            <w:hideMark/>
          </w:tcPr>
          <w:p w14:paraId="54F8CF1C" w14:textId="77777777" w:rsidR="00025B97" w:rsidRPr="00025B97" w:rsidRDefault="00025B97">
            <w:r w:rsidRPr="00025B97">
              <w:t>2 discrete variables</w:t>
            </w:r>
          </w:p>
        </w:tc>
      </w:tr>
      <w:tr w:rsidR="00025B97" w:rsidRPr="00025B97" w14:paraId="3B7B946C" w14:textId="77777777" w:rsidTr="00025B97">
        <w:trPr>
          <w:trHeight w:val="320"/>
        </w:trPr>
        <w:tc>
          <w:tcPr>
            <w:tcW w:w="731" w:type="dxa"/>
            <w:noWrap/>
            <w:hideMark/>
          </w:tcPr>
          <w:p w14:paraId="537E8D61" w14:textId="77777777" w:rsidR="00025B97" w:rsidRPr="00025B97" w:rsidRDefault="00025B97">
            <w:r w:rsidRPr="00025B97">
              <w:t>5</w:t>
            </w:r>
          </w:p>
        </w:tc>
        <w:tc>
          <w:tcPr>
            <w:tcW w:w="1879" w:type="dxa"/>
            <w:noWrap/>
            <w:hideMark/>
          </w:tcPr>
          <w:p w14:paraId="39029EED" w14:textId="77777777" w:rsidR="00025B97" w:rsidRPr="00025B97" w:rsidRDefault="00025B97">
            <w:r w:rsidRPr="00025B97">
              <w:t>Feb 16 and 18</w:t>
            </w:r>
          </w:p>
        </w:tc>
        <w:tc>
          <w:tcPr>
            <w:tcW w:w="3510" w:type="dxa"/>
            <w:noWrap/>
            <w:hideMark/>
          </w:tcPr>
          <w:p w14:paraId="3497B806" w14:textId="77777777" w:rsidR="00025B97" w:rsidRPr="00025B97" w:rsidRDefault="00025B97">
            <w:r w:rsidRPr="00025B97">
              <w:t>2 Continuous variables</w:t>
            </w:r>
          </w:p>
        </w:tc>
      </w:tr>
      <w:tr w:rsidR="00025B97" w:rsidRPr="00025B97" w14:paraId="275D0C12" w14:textId="77777777" w:rsidTr="00025B97">
        <w:trPr>
          <w:trHeight w:val="320"/>
        </w:trPr>
        <w:tc>
          <w:tcPr>
            <w:tcW w:w="731" w:type="dxa"/>
            <w:noWrap/>
            <w:hideMark/>
          </w:tcPr>
          <w:p w14:paraId="0EF9CFB3" w14:textId="77777777" w:rsidR="00025B97" w:rsidRPr="00025B97" w:rsidRDefault="00025B97">
            <w:r w:rsidRPr="00025B97">
              <w:t>6</w:t>
            </w:r>
          </w:p>
        </w:tc>
        <w:tc>
          <w:tcPr>
            <w:tcW w:w="1879" w:type="dxa"/>
            <w:noWrap/>
            <w:hideMark/>
          </w:tcPr>
          <w:p w14:paraId="20A1BF0D" w14:textId="77777777" w:rsidR="00025B97" w:rsidRPr="00025B97" w:rsidRDefault="00025B97">
            <w:r w:rsidRPr="00025B97">
              <w:t>Feb 23 and 25</w:t>
            </w:r>
          </w:p>
        </w:tc>
        <w:tc>
          <w:tcPr>
            <w:tcW w:w="3510" w:type="dxa"/>
            <w:noWrap/>
            <w:hideMark/>
          </w:tcPr>
          <w:p w14:paraId="782B11F6" w14:textId="77777777" w:rsidR="00025B97" w:rsidRPr="00025B97" w:rsidRDefault="00025B97">
            <w:r w:rsidRPr="00025B97">
              <w:t>1 Continuous and 1 discrete variable</w:t>
            </w:r>
          </w:p>
        </w:tc>
      </w:tr>
      <w:tr w:rsidR="00025B97" w:rsidRPr="00025B97" w14:paraId="05A7D17B" w14:textId="77777777" w:rsidTr="00025B97">
        <w:trPr>
          <w:trHeight w:val="320"/>
        </w:trPr>
        <w:tc>
          <w:tcPr>
            <w:tcW w:w="731" w:type="dxa"/>
            <w:noWrap/>
            <w:hideMark/>
          </w:tcPr>
          <w:p w14:paraId="37A4D233" w14:textId="77777777" w:rsidR="00025B97" w:rsidRPr="00025B97" w:rsidRDefault="00025B97">
            <w:r w:rsidRPr="00025B97">
              <w:t>7</w:t>
            </w:r>
          </w:p>
        </w:tc>
        <w:tc>
          <w:tcPr>
            <w:tcW w:w="1879" w:type="dxa"/>
            <w:noWrap/>
            <w:hideMark/>
          </w:tcPr>
          <w:p w14:paraId="4920C931" w14:textId="77777777" w:rsidR="00025B97" w:rsidRPr="00025B97" w:rsidRDefault="00025B97">
            <w:r w:rsidRPr="00025B97">
              <w:t>Mar 4</w:t>
            </w:r>
          </w:p>
        </w:tc>
        <w:tc>
          <w:tcPr>
            <w:tcW w:w="3510" w:type="dxa"/>
            <w:noWrap/>
            <w:hideMark/>
          </w:tcPr>
          <w:p w14:paraId="09D32E67" w14:textId="77777777" w:rsidR="00025B97" w:rsidRPr="00025B97" w:rsidRDefault="00025B97">
            <w:r w:rsidRPr="00025B97">
              <w:t>GLM-1</w:t>
            </w:r>
          </w:p>
        </w:tc>
      </w:tr>
      <w:tr w:rsidR="00025B97" w:rsidRPr="00025B97" w14:paraId="3D8D3B20" w14:textId="77777777" w:rsidTr="00025B97">
        <w:trPr>
          <w:trHeight w:val="320"/>
        </w:trPr>
        <w:tc>
          <w:tcPr>
            <w:tcW w:w="731" w:type="dxa"/>
            <w:noWrap/>
            <w:hideMark/>
          </w:tcPr>
          <w:p w14:paraId="121C07AB" w14:textId="77777777" w:rsidR="00025B97" w:rsidRPr="00025B97" w:rsidRDefault="00025B97">
            <w:r w:rsidRPr="00025B97">
              <w:t>8</w:t>
            </w:r>
          </w:p>
        </w:tc>
        <w:tc>
          <w:tcPr>
            <w:tcW w:w="1879" w:type="dxa"/>
            <w:noWrap/>
            <w:hideMark/>
          </w:tcPr>
          <w:p w14:paraId="585EF67F" w14:textId="77777777" w:rsidR="00025B97" w:rsidRPr="00025B97" w:rsidRDefault="00025B97">
            <w:r w:rsidRPr="00025B97">
              <w:t>Mar 9 and 11</w:t>
            </w:r>
          </w:p>
        </w:tc>
        <w:tc>
          <w:tcPr>
            <w:tcW w:w="3510" w:type="dxa"/>
            <w:noWrap/>
            <w:hideMark/>
          </w:tcPr>
          <w:p w14:paraId="4E235C00" w14:textId="77777777" w:rsidR="00025B97" w:rsidRPr="00025B97" w:rsidRDefault="00025B97">
            <w:r w:rsidRPr="00025B97">
              <w:t>GLM-2</w:t>
            </w:r>
          </w:p>
        </w:tc>
      </w:tr>
      <w:tr w:rsidR="00025B97" w:rsidRPr="00025B97" w14:paraId="52514633" w14:textId="77777777" w:rsidTr="00025B97">
        <w:trPr>
          <w:trHeight w:val="320"/>
        </w:trPr>
        <w:tc>
          <w:tcPr>
            <w:tcW w:w="731" w:type="dxa"/>
            <w:noWrap/>
            <w:hideMark/>
          </w:tcPr>
          <w:p w14:paraId="6E220D45" w14:textId="77777777" w:rsidR="00025B97" w:rsidRPr="00025B97" w:rsidRDefault="00025B97">
            <w:r w:rsidRPr="00025B97">
              <w:t>9</w:t>
            </w:r>
          </w:p>
        </w:tc>
        <w:tc>
          <w:tcPr>
            <w:tcW w:w="1879" w:type="dxa"/>
            <w:noWrap/>
            <w:hideMark/>
          </w:tcPr>
          <w:p w14:paraId="2B63F752" w14:textId="77777777" w:rsidR="00025B97" w:rsidRPr="00025B97" w:rsidRDefault="00025B97">
            <w:r w:rsidRPr="00025B97">
              <w:t>Mar 16</w:t>
            </w:r>
          </w:p>
        </w:tc>
        <w:tc>
          <w:tcPr>
            <w:tcW w:w="3510" w:type="dxa"/>
            <w:noWrap/>
            <w:hideMark/>
          </w:tcPr>
          <w:p w14:paraId="3513C3F4" w14:textId="77777777" w:rsidR="00025B97" w:rsidRPr="00025B97" w:rsidRDefault="00025B97">
            <w:r w:rsidRPr="00025B97">
              <w:t>Midterm</w:t>
            </w:r>
          </w:p>
        </w:tc>
      </w:tr>
      <w:tr w:rsidR="00025B97" w:rsidRPr="00025B97" w14:paraId="1C78415D" w14:textId="77777777" w:rsidTr="00025B97">
        <w:trPr>
          <w:trHeight w:val="320"/>
        </w:trPr>
        <w:tc>
          <w:tcPr>
            <w:tcW w:w="731" w:type="dxa"/>
            <w:noWrap/>
            <w:hideMark/>
          </w:tcPr>
          <w:p w14:paraId="12FEF536" w14:textId="77777777" w:rsidR="00025B97" w:rsidRPr="00025B97" w:rsidRDefault="00025B97">
            <w:r w:rsidRPr="00025B97">
              <w:t>10</w:t>
            </w:r>
          </w:p>
        </w:tc>
        <w:tc>
          <w:tcPr>
            <w:tcW w:w="1879" w:type="dxa"/>
            <w:noWrap/>
            <w:hideMark/>
          </w:tcPr>
          <w:p w14:paraId="5A11D48F" w14:textId="77777777" w:rsidR="00025B97" w:rsidRPr="00025B97" w:rsidRDefault="00025B97">
            <w:r w:rsidRPr="00025B97">
              <w:t>Mar 23 and 25</w:t>
            </w:r>
          </w:p>
        </w:tc>
        <w:tc>
          <w:tcPr>
            <w:tcW w:w="3510" w:type="dxa"/>
            <w:noWrap/>
            <w:hideMark/>
          </w:tcPr>
          <w:p w14:paraId="791457C6" w14:textId="77777777" w:rsidR="00025B97" w:rsidRPr="00025B97" w:rsidRDefault="00025B97">
            <w:r w:rsidRPr="00025B97">
              <w:t>GWAS</w:t>
            </w:r>
          </w:p>
        </w:tc>
      </w:tr>
      <w:tr w:rsidR="00025B97" w:rsidRPr="00025B97" w14:paraId="709CE872" w14:textId="77777777" w:rsidTr="00025B97">
        <w:trPr>
          <w:trHeight w:val="320"/>
        </w:trPr>
        <w:tc>
          <w:tcPr>
            <w:tcW w:w="731" w:type="dxa"/>
            <w:noWrap/>
            <w:hideMark/>
          </w:tcPr>
          <w:p w14:paraId="4C705F22" w14:textId="77777777" w:rsidR="00025B97" w:rsidRPr="00025B97" w:rsidRDefault="00025B97">
            <w:r w:rsidRPr="00025B97">
              <w:t>11</w:t>
            </w:r>
          </w:p>
        </w:tc>
        <w:tc>
          <w:tcPr>
            <w:tcW w:w="1879" w:type="dxa"/>
            <w:noWrap/>
            <w:hideMark/>
          </w:tcPr>
          <w:p w14:paraId="0DFE66BC" w14:textId="77777777" w:rsidR="00025B97" w:rsidRPr="00025B97" w:rsidRDefault="00025B97">
            <w:r w:rsidRPr="00025B97">
              <w:t>Mar 30 and Apr 1</w:t>
            </w:r>
          </w:p>
        </w:tc>
        <w:tc>
          <w:tcPr>
            <w:tcW w:w="3510" w:type="dxa"/>
            <w:noWrap/>
            <w:hideMark/>
          </w:tcPr>
          <w:p w14:paraId="73B7E36E" w14:textId="77777777" w:rsidR="00025B97" w:rsidRPr="00025B97" w:rsidRDefault="00025B97">
            <w:r w:rsidRPr="00025B97">
              <w:t>Comparative methods</w:t>
            </w:r>
          </w:p>
        </w:tc>
      </w:tr>
      <w:tr w:rsidR="00025B97" w:rsidRPr="00025B97" w14:paraId="5AFAD61C" w14:textId="77777777" w:rsidTr="00025B97">
        <w:trPr>
          <w:trHeight w:val="320"/>
        </w:trPr>
        <w:tc>
          <w:tcPr>
            <w:tcW w:w="731" w:type="dxa"/>
            <w:noWrap/>
            <w:hideMark/>
          </w:tcPr>
          <w:p w14:paraId="4E8E566C" w14:textId="77777777" w:rsidR="00025B97" w:rsidRPr="00025B97" w:rsidRDefault="00025B97">
            <w:r w:rsidRPr="00025B97">
              <w:t>12</w:t>
            </w:r>
          </w:p>
        </w:tc>
        <w:tc>
          <w:tcPr>
            <w:tcW w:w="1879" w:type="dxa"/>
            <w:noWrap/>
            <w:hideMark/>
          </w:tcPr>
          <w:p w14:paraId="4596548F" w14:textId="77777777" w:rsidR="00025B97" w:rsidRPr="00025B97" w:rsidRDefault="00025B97">
            <w:r w:rsidRPr="00025B97">
              <w:t>Apr 6 and 8</w:t>
            </w:r>
          </w:p>
        </w:tc>
        <w:tc>
          <w:tcPr>
            <w:tcW w:w="3510" w:type="dxa"/>
            <w:noWrap/>
            <w:hideMark/>
          </w:tcPr>
          <w:p w14:paraId="3336DE4C" w14:textId="77777777" w:rsidR="00025B97" w:rsidRPr="00025B97" w:rsidRDefault="00025B97">
            <w:r w:rsidRPr="00025B97">
              <w:t>MCMC</w:t>
            </w:r>
          </w:p>
        </w:tc>
      </w:tr>
      <w:tr w:rsidR="00025B97" w:rsidRPr="00025B97" w14:paraId="2CB584E8" w14:textId="77777777" w:rsidTr="00025B97">
        <w:trPr>
          <w:trHeight w:val="320"/>
        </w:trPr>
        <w:tc>
          <w:tcPr>
            <w:tcW w:w="731" w:type="dxa"/>
            <w:noWrap/>
            <w:hideMark/>
          </w:tcPr>
          <w:p w14:paraId="63F4DB78" w14:textId="77777777" w:rsidR="00025B97" w:rsidRPr="00025B97" w:rsidRDefault="00025B97">
            <w:r w:rsidRPr="00025B97">
              <w:t>13</w:t>
            </w:r>
          </w:p>
        </w:tc>
        <w:tc>
          <w:tcPr>
            <w:tcW w:w="1879" w:type="dxa"/>
            <w:noWrap/>
            <w:hideMark/>
          </w:tcPr>
          <w:p w14:paraId="439468A1" w14:textId="77777777" w:rsidR="00025B97" w:rsidRPr="00025B97" w:rsidRDefault="00025B97">
            <w:r w:rsidRPr="00025B97">
              <w:t>Apr 13 and 15</w:t>
            </w:r>
          </w:p>
        </w:tc>
        <w:tc>
          <w:tcPr>
            <w:tcW w:w="3510" w:type="dxa"/>
            <w:noWrap/>
            <w:hideMark/>
          </w:tcPr>
          <w:p w14:paraId="2F7EC0C1" w14:textId="77777777" w:rsidR="00025B97" w:rsidRPr="00025B97" w:rsidRDefault="00025B97">
            <w:r w:rsidRPr="00025B97">
              <w:t>PCA</w:t>
            </w:r>
          </w:p>
        </w:tc>
      </w:tr>
      <w:tr w:rsidR="00025B97" w:rsidRPr="00025B97" w14:paraId="65200FBC" w14:textId="77777777" w:rsidTr="00025B97">
        <w:trPr>
          <w:trHeight w:val="320"/>
        </w:trPr>
        <w:tc>
          <w:tcPr>
            <w:tcW w:w="731" w:type="dxa"/>
            <w:noWrap/>
            <w:hideMark/>
          </w:tcPr>
          <w:p w14:paraId="4AB8751F" w14:textId="77777777" w:rsidR="00025B97" w:rsidRPr="00025B97" w:rsidRDefault="00025B97">
            <w:r w:rsidRPr="00025B97">
              <w:t>14</w:t>
            </w:r>
          </w:p>
        </w:tc>
        <w:tc>
          <w:tcPr>
            <w:tcW w:w="1879" w:type="dxa"/>
            <w:noWrap/>
            <w:hideMark/>
          </w:tcPr>
          <w:p w14:paraId="217212FC" w14:textId="77777777" w:rsidR="00025B97" w:rsidRPr="00025B97" w:rsidRDefault="00025B97">
            <w:r w:rsidRPr="00025B97">
              <w:t>Apr 20 and 22</w:t>
            </w:r>
          </w:p>
        </w:tc>
        <w:tc>
          <w:tcPr>
            <w:tcW w:w="3510" w:type="dxa"/>
            <w:noWrap/>
            <w:hideMark/>
          </w:tcPr>
          <w:p w14:paraId="304F1687" w14:textId="77777777" w:rsidR="00025B97" w:rsidRPr="00025B97" w:rsidRDefault="00025B97">
            <w:r w:rsidRPr="00025B97">
              <w:t>Project</w:t>
            </w:r>
          </w:p>
        </w:tc>
      </w:tr>
      <w:tr w:rsidR="00025B97" w:rsidRPr="00025B97" w14:paraId="7DF951B4" w14:textId="77777777" w:rsidTr="00025B97">
        <w:trPr>
          <w:trHeight w:val="320"/>
        </w:trPr>
        <w:tc>
          <w:tcPr>
            <w:tcW w:w="731" w:type="dxa"/>
            <w:noWrap/>
            <w:hideMark/>
          </w:tcPr>
          <w:p w14:paraId="1A087F35" w14:textId="77777777" w:rsidR="00025B97" w:rsidRPr="00025B97" w:rsidRDefault="00025B97">
            <w:r w:rsidRPr="00025B97">
              <w:t>15</w:t>
            </w:r>
          </w:p>
        </w:tc>
        <w:tc>
          <w:tcPr>
            <w:tcW w:w="1879" w:type="dxa"/>
            <w:noWrap/>
            <w:hideMark/>
          </w:tcPr>
          <w:p w14:paraId="5304DAE9" w14:textId="77777777" w:rsidR="00025B97" w:rsidRPr="00025B97" w:rsidRDefault="00025B97">
            <w:r w:rsidRPr="00025B97">
              <w:t>Apr 27 and 29</w:t>
            </w:r>
          </w:p>
        </w:tc>
        <w:tc>
          <w:tcPr>
            <w:tcW w:w="3510" w:type="dxa"/>
            <w:noWrap/>
            <w:hideMark/>
          </w:tcPr>
          <w:p w14:paraId="7C4F017F" w14:textId="77777777" w:rsidR="00025B97" w:rsidRPr="00025B97" w:rsidRDefault="00025B97">
            <w:r w:rsidRPr="00025B97">
              <w:t>Project</w:t>
            </w:r>
          </w:p>
        </w:tc>
      </w:tr>
      <w:tr w:rsidR="00025B97" w:rsidRPr="00025B97" w14:paraId="780C5B23" w14:textId="77777777" w:rsidTr="00025B97">
        <w:trPr>
          <w:trHeight w:val="320"/>
        </w:trPr>
        <w:tc>
          <w:tcPr>
            <w:tcW w:w="731" w:type="dxa"/>
            <w:tcBorders>
              <w:bottom w:val="single" w:sz="4" w:space="0" w:color="auto"/>
            </w:tcBorders>
            <w:noWrap/>
            <w:hideMark/>
          </w:tcPr>
          <w:p w14:paraId="60C06E3C" w14:textId="77777777" w:rsidR="00025B97" w:rsidRPr="00025B97" w:rsidRDefault="00025B97">
            <w:r w:rsidRPr="00025B97">
              <w:t>16</w:t>
            </w:r>
          </w:p>
        </w:tc>
        <w:tc>
          <w:tcPr>
            <w:tcW w:w="1879" w:type="dxa"/>
            <w:tcBorders>
              <w:bottom w:val="single" w:sz="4" w:space="0" w:color="auto"/>
            </w:tcBorders>
            <w:noWrap/>
            <w:hideMark/>
          </w:tcPr>
          <w:p w14:paraId="5151D9C6" w14:textId="2923B084" w:rsidR="00025B97" w:rsidRPr="00025B97" w:rsidRDefault="00025B97">
            <w:r w:rsidRPr="00025B97">
              <w:t>May 4</w:t>
            </w:r>
          </w:p>
        </w:tc>
        <w:tc>
          <w:tcPr>
            <w:tcW w:w="3510" w:type="dxa"/>
            <w:tcBorders>
              <w:bottom w:val="single" w:sz="4" w:space="0" w:color="auto"/>
            </w:tcBorders>
            <w:noWrap/>
            <w:hideMark/>
          </w:tcPr>
          <w:p w14:paraId="4C1C62EF" w14:textId="77777777" w:rsidR="00025B97" w:rsidRPr="00025B97" w:rsidRDefault="00025B97">
            <w:r w:rsidRPr="00025B97">
              <w:t>Final</w:t>
            </w:r>
          </w:p>
        </w:tc>
      </w:tr>
    </w:tbl>
    <w:p w14:paraId="09A84D8D" w14:textId="3E262524" w:rsidR="00805DE2" w:rsidRDefault="00805DE2" w:rsidP="00805DE2"/>
    <w:p w14:paraId="586BA547" w14:textId="77777777" w:rsidR="00025B97" w:rsidRDefault="00025B97" w:rsidP="00805DE2"/>
    <w:p w14:paraId="18B3BEB7" w14:textId="04A34A07" w:rsidR="00805DE2" w:rsidRDefault="00025B97" w:rsidP="00B23E26">
      <w:pPr>
        <w:pStyle w:val="Heading3"/>
      </w:pPr>
      <w:r>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lastRenderedPageBreak/>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lastRenderedPageBreak/>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lastRenderedPageBreak/>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4909843A" w14:textId="77777777" w:rsidR="00DE63B6" w:rsidRPr="00B55BB8" w:rsidRDefault="00DE63B6" w:rsidP="00DE63B6">
      <w:r w:rsidRPr="00B55BB8">
        <w:t>To promote public safety and protect students, faculty, and staff during the coronavirus pandemic, Texas A&amp;M University has adopted policies and practices for the Fall 2020 academic term to limit virus transmission. Students must observe the following practices while participating in face-to-face courses and course-related activities (office hours, help sessions, transitioning to and between classes, study spaces, academic services, etc.):</w:t>
      </w:r>
    </w:p>
    <w:p w14:paraId="0D22795E" w14:textId="77777777" w:rsidR="00DE63B6" w:rsidRPr="00B55BB8" w:rsidRDefault="00DE63B6" w:rsidP="00DE63B6"/>
    <w:p w14:paraId="7E96CBE2" w14:textId="77777777" w:rsidR="00DE63B6" w:rsidRPr="00B55BB8" w:rsidRDefault="00DE63B6" w:rsidP="00DE63B6">
      <w:pPr>
        <w:numPr>
          <w:ilvl w:val="0"/>
          <w:numId w:val="8"/>
        </w:numPr>
        <w:contextualSpacing/>
      </w:pPr>
      <w:r w:rsidRPr="00B55BB8">
        <w:t xml:space="preserve">Self-monitoring—Students should follow CDC recommendations for self-monitoring. </w:t>
      </w:r>
      <w:r w:rsidRPr="00B55BB8">
        <w:rPr>
          <w:b/>
        </w:rPr>
        <w:t>Students who have a fever or exhibit symptoms of COVID-19 should participate in class remotely and should not participate in face-to-face instruction.</w:t>
      </w:r>
    </w:p>
    <w:p w14:paraId="7A189AE7" w14:textId="77777777" w:rsidR="00DE63B6" w:rsidRPr="00B55BB8" w:rsidRDefault="00DE63B6" w:rsidP="00DE63B6">
      <w:pPr>
        <w:numPr>
          <w:ilvl w:val="0"/>
          <w:numId w:val="8"/>
        </w:numPr>
        <w:contextualSpacing/>
      </w:pPr>
      <w:r w:rsidRPr="00B55BB8">
        <w:t>Face Coverings—</w:t>
      </w:r>
      <w:hyperlink r:id="rId21" w:history="1">
        <w:r w:rsidRPr="00B55BB8">
          <w:rPr>
            <w:color w:val="0563C1" w:themeColor="hyperlink"/>
            <w:u w:val="single"/>
          </w:rPr>
          <w:t>Face coverings</w:t>
        </w:r>
      </w:hyperlink>
      <w:r w:rsidRPr="00B55BB8">
        <w:t xml:space="preserve"> (cloth face covering, surgical mask, etc.) must be properly worn in all non-private spaces including classrooms, teaching laboratories, common spaces such as lobbies and hallways, public study spaces, libraries, academic resource and support offices, and outdoor spaces where 6 feet </w:t>
      </w:r>
      <w:r w:rsidRPr="0029372D">
        <w:t xml:space="preserve">of physical distancing is difficult to reliably maintain. Description of face coverings and additional </w:t>
      </w:r>
      <w:r w:rsidRPr="00B55BB8">
        <w:t xml:space="preserve">guidance </w:t>
      </w:r>
      <w:r>
        <w:t>are</w:t>
      </w:r>
      <w:r w:rsidRPr="00B55BB8">
        <w:t xml:space="preserve"> provided in the </w:t>
      </w:r>
      <w:hyperlink r:id="rId22" w:history="1">
        <w:r w:rsidRPr="00B55BB8">
          <w:rPr>
            <w:color w:val="0563C1" w:themeColor="hyperlink"/>
            <w:u w:val="single"/>
          </w:rPr>
          <w:t>Face Covering policy</w:t>
        </w:r>
      </w:hyperlink>
      <w:r w:rsidRPr="00B55BB8">
        <w:t xml:space="preserve"> and </w:t>
      </w:r>
      <w:hyperlink r:id="rId23" w:history="1">
        <w:r w:rsidRPr="00B55BB8">
          <w:rPr>
            <w:color w:val="0563C1" w:themeColor="hyperlink"/>
            <w:u w:val="single"/>
          </w:rPr>
          <w:t>Frequently Asked Questions (FAQ)</w:t>
        </w:r>
      </w:hyperlink>
      <w:r w:rsidRPr="00B55BB8">
        <w:t xml:space="preserve"> available on the </w:t>
      </w:r>
      <w:hyperlink r:id="rId24" w:history="1">
        <w:r w:rsidRPr="00B55BB8">
          <w:rPr>
            <w:color w:val="0563C1" w:themeColor="hyperlink"/>
            <w:u w:val="single"/>
          </w:rPr>
          <w:t>Provost website</w:t>
        </w:r>
      </w:hyperlink>
      <w:r w:rsidRPr="00B55BB8">
        <w:t>.</w:t>
      </w:r>
    </w:p>
    <w:p w14:paraId="1CFB8F39" w14:textId="77777777" w:rsidR="00DE63B6" w:rsidRPr="00B55BB8" w:rsidRDefault="00DE63B6" w:rsidP="00DE63B6">
      <w:pPr>
        <w:numPr>
          <w:ilvl w:val="0"/>
          <w:numId w:val="8"/>
        </w:numPr>
        <w:contextualSpacing/>
      </w:pPr>
      <w:r w:rsidRPr="00B55BB8">
        <w:t>Physical Distancing—Physical distancing must be maintained between students, instructors, and others in course and course-related activities.</w:t>
      </w:r>
    </w:p>
    <w:p w14:paraId="79B2488F" w14:textId="77777777" w:rsidR="00DE63B6" w:rsidRDefault="00DE63B6" w:rsidP="00DE63B6">
      <w:pPr>
        <w:numPr>
          <w:ilvl w:val="0"/>
          <w:numId w:val="8"/>
        </w:numPr>
        <w:contextualSpacing/>
      </w:pPr>
      <w:r w:rsidRPr="00B55BB8">
        <w:t>Classroom Ingress/Egress—Students must follow marked pathways for entering and exiting classrooms and other teaching spaces. Leave classrooms promptly after course activities have concluded. Do not congregate in hallways and maintain 6-foot physical distancing when waiting to enter classrooms and other instructional spaces.</w:t>
      </w:r>
    </w:p>
    <w:p w14:paraId="47968165" w14:textId="77777777" w:rsidR="00DE63B6" w:rsidRPr="00B55BB8" w:rsidRDefault="00DE63B6" w:rsidP="00DE63B6">
      <w:pPr>
        <w:numPr>
          <w:ilvl w:val="0"/>
          <w:numId w:val="8"/>
        </w:numPr>
        <w:contextualSpacing/>
      </w:pPr>
      <w:r>
        <w:t xml:space="preserve">To attend a face-to-face class, students must wear a face covering (or a face shield if they have an exemption letter). If a student refuses to wear a face covering, the instructor should ask the student to leave and join the class remotely. If the student does not leave the class, the faculty member should report that student to the </w:t>
      </w:r>
      <w:hyperlink r:id="rId25" w:history="1">
        <w:r w:rsidRPr="0029372D">
          <w:rPr>
            <w:rStyle w:val="Hyperlink"/>
          </w:rPr>
          <w:t>Student Conduct office</w:t>
        </w:r>
      </w:hyperlink>
      <w:r>
        <w:t xml:space="preserve"> for sanctions. Additionally, the faculty member may choose to teach that day’s class remotely for all students.</w:t>
      </w:r>
    </w:p>
    <w:p w14:paraId="234A324D" w14:textId="77777777" w:rsidR="00DE63B6" w:rsidRDefault="00DE63B6" w:rsidP="00A60155"/>
    <w:p w14:paraId="723DE6E3" w14:textId="77777777" w:rsidR="00A60155" w:rsidRDefault="00A60155" w:rsidP="00CD12A6">
      <w:pPr>
        <w:pStyle w:val="Heading4"/>
      </w:pPr>
      <w:r>
        <w:t>Personal Illness and Quarantine</w:t>
      </w:r>
    </w:p>
    <w:p w14:paraId="4BCF9870" w14:textId="3507EDE5" w:rsidR="00A60155" w:rsidRDefault="00A60155" w:rsidP="00A60155"/>
    <w:p w14:paraId="440A28F2" w14:textId="77777777" w:rsidR="00DE63B6" w:rsidRPr="00DE63B6" w:rsidRDefault="00DE63B6" w:rsidP="00DE63B6">
      <w:r w:rsidRPr="00DE63B6">
        <w:lastRenderedPageBreak/>
        <w:t xml:space="preserve">Students required to quarantine must participate in courses and course-related activities remotely and </w:t>
      </w:r>
      <w:r w:rsidRPr="00DE63B6">
        <w:rPr>
          <w:b/>
        </w:rPr>
        <w:t>must not attend face-to-face course activities</w:t>
      </w:r>
      <w:r w:rsidRPr="00DE63B6">
        <w:t>. Students should notify their instructors of the quarantine requirement. Students under quarantine are expected to participate in courses and complete graded work unless they have symptoms that are too severe to participate in course activities.</w:t>
      </w:r>
    </w:p>
    <w:p w14:paraId="54D19425" w14:textId="77777777" w:rsidR="00DE63B6" w:rsidRPr="00DE63B6" w:rsidRDefault="00DE63B6" w:rsidP="00DE63B6"/>
    <w:p w14:paraId="072D2D2E" w14:textId="77777777" w:rsidR="00DE63B6" w:rsidRPr="00DE63B6" w:rsidRDefault="00DE63B6" w:rsidP="00DE63B6">
      <w:r w:rsidRPr="00DE63B6">
        <w:t xml:space="preserve">Students experiencing personal injury or Illness that is too severe for the student to attend class qualify for an excused absence (See </w:t>
      </w:r>
      <w:hyperlink r:id="rId26" w:history="1">
        <w:r w:rsidRPr="00DE63B6">
          <w:rPr>
            <w:rStyle w:val="Hyperlink"/>
          </w:rPr>
          <w:t>Student Rule 7, Section 7.2.2</w:t>
        </w:r>
      </w:hyperlink>
      <w:r w:rsidRPr="00DE63B6">
        <w:t xml:space="preserve">.) To receive an excused absence, students must comply with the documentation and notification guidelines outlined in Student Rule 7. While Student Rule 7, Section 7.3.2.1, indicates a medical confirmation note from the student’s medical provider is preferred, </w:t>
      </w:r>
      <w:r w:rsidRPr="00DE63B6">
        <w:rPr>
          <w:b/>
        </w:rPr>
        <w:t>for Fall 2020 only, students may use the Explanatory Statement for Absence from Class form in lieu of a medical confirmation. Students must submit the Explanatory Statement for Absence from Class within two business days after the last date of absence.</w:t>
      </w:r>
    </w:p>
    <w:p w14:paraId="7617D1D5" w14:textId="77777777" w:rsidR="005955AD" w:rsidRDefault="005955AD" w:rsidP="00A60155"/>
    <w:sectPr w:rsidR="005955AD">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DB095" w14:textId="77777777" w:rsidR="00EA1162" w:rsidRDefault="00EA1162" w:rsidP="008927F1">
      <w:r>
        <w:separator/>
      </w:r>
    </w:p>
  </w:endnote>
  <w:endnote w:type="continuationSeparator" w:id="0">
    <w:p w14:paraId="05753B71" w14:textId="77777777" w:rsidR="00EA1162" w:rsidRDefault="00EA1162"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568502469"/>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68FBE" w14:textId="77777777" w:rsidR="00EA1162" w:rsidRDefault="00EA1162" w:rsidP="008927F1">
      <w:r>
        <w:separator/>
      </w:r>
    </w:p>
  </w:footnote>
  <w:footnote w:type="continuationSeparator" w:id="0">
    <w:p w14:paraId="371D889B" w14:textId="77777777" w:rsidR="00EA1162" w:rsidRDefault="00EA1162"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12344B"/>
    <w:rsid w:val="00127227"/>
    <w:rsid w:val="00194B0C"/>
    <w:rsid w:val="00281D66"/>
    <w:rsid w:val="002E5024"/>
    <w:rsid w:val="0031456A"/>
    <w:rsid w:val="00380FF7"/>
    <w:rsid w:val="003B04F2"/>
    <w:rsid w:val="00400847"/>
    <w:rsid w:val="004109D8"/>
    <w:rsid w:val="00456671"/>
    <w:rsid w:val="00492818"/>
    <w:rsid w:val="004B5A48"/>
    <w:rsid w:val="00547729"/>
    <w:rsid w:val="00577949"/>
    <w:rsid w:val="005955AD"/>
    <w:rsid w:val="005E3C51"/>
    <w:rsid w:val="00652D0A"/>
    <w:rsid w:val="00672821"/>
    <w:rsid w:val="006E6B55"/>
    <w:rsid w:val="00715F90"/>
    <w:rsid w:val="007231DB"/>
    <w:rsid w:val="00805DE2"/>
    <w:rsid w:val="00835830"/>
    <w:rsid w:val="008927F1"/>
    <w:rsid w:val="008D7BA8"/>
    <w:rsid w:val="009E1A4F"/>
    <w:rsid w:val="009F2157"/>
    <w:rsid w:val="00A60155"/>
    <w:rsid w:val="00A93C02"/>
    <w:rsid w:val="00AF3B8F"/>
    <w:rsid w:val="00B11A32"/>
    <w:rsid w:val="00B23E26"/>
    <w:rsid w:val="00BC479A"/>
    <w:rsid w:val="00BC62F9"/>
    <w:rsid w:val="00BE397C"/>
    <w:rsid w:val="00C25DE5"/>
    <w:rsid w:val="00C37313"/>
    <w:rsid w:val="00CD12A6"/>
    <w:rsid w:val="00DB05DE"/>
    <w:rsid w:val="00DB6F93"/>
    <w:rsid w:val="00DC5D6C"/>
    <w:rsid w:val="00DD0C83"/>
    <w:rsid w:val="00DE63B6"/>
    <w:rsid w:val="00DF082E"/>
    <w:rsid w:val="00E161DF"/>
    <w:rsid w:val="00E93673"/>
    <w:rsid w:val="00EA1162"/>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hyperlink" Target="https://student-rules.tamu.edu/rule07/" TargetMode="External"/><Relationship Id="rId3" Type="http://schemas.openxmlformats.org/officeDocument/2006/relationships/settings" Target="settings.xml"/><Relationship Id="rId21" Type="http://schemas.openxmlformats.org/officeDocument/2006/relationships/hyperlink" Target="https://rules-saps.tamu.edu/PDFs/34.99.99.M0.03.pdf" TargetMode="External"/><Relationship Id="rId34" Type="http://schemas.openxmlformats.org/officeDocument/2006/relationships/theme" Target="theme/theme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yperlink" Target="https://studentlife.tamu.edu/sco/face-covering-viol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hyperlink" Target="https://provost.tamu.edu/Menu/News/TAMU-Face-Covering-FAQ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hyperlink" Target="https://provost.tamu.edu/Menu/News/TAMU-Face-Covering-FAQs" TargetMode="External"/><Relationship Id="rId28" Type="http://schemas.openxmlformats.org/officeDocument/2006/relationships/header" Target="header2.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yperlink" Target="https://rules-saps.tamu.edu/PDFs/34.99.99.M0.03.pdf"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coleoguy.github.io/exp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2021-01-06T17:48:00Z</dcterms:created>
  <dcterms:modified xsi:type="dcterms:W3CDTF">2021-01-07T16:26:00Z</dcterms:modified>
</cp:coreProperties>
</file>