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06CC" w:rsidRPr="006A33C1" w:rsidRDefault="006E06CC" w:rsidP="006E06CC">
      <w:pPr>
        <w:pStyle w:val="MDPI11articletype"/>
      </w:pPr>
      <w:bookmarkStart w:id="0" w:name="_GoBack"/>
      <w:bookmarkEnd w:id="0"/>
      <w:r w:rsidRPr="006A33C1">
        <w:t>Article</w:t>
      </w:r>
    </w:p>
    <w:p w:rsidR="006E06CC" w:rsidRPr="006A33C1" w:rsidRDefault="009A2357" w:rsidP="006E06CC">
      <w:pPr>
        <w:pStyle w:val="MDPI12title"/>
        <w:tabs>
          <w:tab w:val="left" w:pos="2687"/>
        </w:tabs>
        <w:spacing w:line="240" w:lineRule="atLeast"/>
      </w:pPr>
      <w:r w:rsidRPr="009A2357">
        <w:t>Mode and tempo of microsatellite evolution across 300 million years of insect evolution</w:t>
      </w:r>
    </w:p>
    <w:p w:rsidR="006E06CC" w:rsidRPr="006A33C1" w:rsidRDefault="009A2357" w:rsidP="006E06CC">
      <w:pPr>
        <w:pStyle w:val="MDPI13authornames"/>
      </w:pPr>
      <w:r w:rsidRPr="009A2357">
        <w:rPr>
          <w:rFonts w:cs="Calibri"/>
        </w:rPr>
        <w:t>Michelle Jonika</w:t>
      </w:r>
      <w:r w:rsidRPr="009A2357">
        <w:rPr>
          <w:rFonts w:cs="Calibri"/>
          <w:vertAlign w:val="superscript"/>
        </w:rPr>
        <w:t>1,2</w:t>
      </w:r>
      <w:r w:rsidRPr="009A2357">
        <w:rPr>
          <w:rFonts w:cs="Calibri"/>
        </w:rPr>
        <w:t>, Johnathan Lo</w:t>
      </w:r>
      <w:r w:rsidRPr="009A2357">
        <w:rPr>
          <w:rFonts w:cs="Calibri"/>
          <w:vertAlign w:val="superscript"/>
        </w:rPr>
        <w:t>1</w:t>
      </w:r>
      <w:r w:rsidRPr="009A2357">
        <w:rPr>
          <w:rFonts w:cs="Calibri"/>
        </w:rPr>
        <w:t>, and Heath Blackmon</w:t>
      </w:r>
      <w:r w:rsidRPr="009A2357">
        <w:rPr>
          <w:rFonts w:cs="Calibri"/>
          <w:vertAlign w:val="superscript"/>
        </w:rPr>
        <w:t>1,2</w:t>
      </w:r>
      <w:r w:rsidR="006E06CC" w:rsidRPr="006A33C1">
        <w:t>*</w:t>
      </w:r>
    </w:p>
    <w:p w:rsidR="006E06CC" w:rsidRPr="006A33C1" w:rsidRDefault="006E06CC" w:rsidP="006E06CC">
      <w:pPr>
        <w:pStyle w:val="MDPI16affiliation"/>
      </w:pPr>
      <w:r w:rsidRPr="006A33C1">
        <w:rPr>
          <w:vertAlign w:val="superscript"/>
        </w:rPr>
        <w:t>1</w:t>
      </w:r>
      <w:r w:rsidRPr="006A33C1">
        <w:tab/>
      </w:r>
      <w:r w:rsidR="009A2357" w:rsidRPr="009A2357">
        <w:rPr>
          <w:rFonts w:cs="Calibri"/>
        </w:rPr>
        <w:t>Department of Biology, Texas A&amp;M University, College Station, Texas, USA</w:t>
      </w:r>
    </w:p>
    <w:p w:rsidR="006E06CC" w:rsidRPr="006A33C1" w:rsidRDefault="006E06CC" w:rsidP="006E06CC">
      <w:pPr>
        <w:pStyle w:val="MDPI16affiliation"/>
      </w:pPr>
      <w:r w:rsidRPr="006A33C1">
        <w:rPr>
          <w:szCs w:val="20"/>
          <w:vertAlign w:val="superscript"/>
        </w:rPr>
        <w:t>2</w:t>
      </w:r>
      <w:r w:rsidRPr="006A33C1">
        <w:rPr>
          <w:szCs w:val="20"/>
        </w:rPr>
        <w:tab/>
      </w:r>
      <w:r w:rsidR="009A2357" w:rsidRPr="009A2357">
        <w:rPr>
          <w:rFonts w:cs="Calibri"/>
        </w:rPr>
        <w:t>Genetics Interdisciplinary Program, Texas A&amp;M University, College Station, Texas, USA</w:t>
      </w:r>
    </w:p>
    <w:p w:rsidR="006E06CC" w:rsidRPr="006A33C1" w:rsidRDefault="006E06CC" w:rsidP="006E06CC">
      <w:pPr>
        <w:pStyle w:val="MDPI14history"/>
        <w:spacing w:before="0"/>
        <w:ind w:left="311" w:hanging="198"/>
      </w:pPr>
      <w:r w:rsidRPr="006A33C1">
        <w:rPr>
          <w:b/>
        </w:rPr>
        <w:t>*</w:t>
      </w:r>
      <w:r w:rsidRPr="006A33C1">
        <w:tab/>
        <w:t xml:space="preserve">Correspondence: </w:t>
      </w:r>
      <w:r w:rsidR="009A2357">
        <w:t>coleoguy@gmail.com</w:t>
      </w:r>
    </w:p>
    <w:p w:rsidR="006E06CC" w:rsidRDefault="006E06CC" w:rsidP="006E06CC">
      <w:pPr>
        <w:pStyle w:val="MDPI14history"/>
      </w:pPr>
      <w:r w:rsidRPr="006A33C1">
        <w:t>Received: date; Accepted: date; Published: date</w:t>
      </w:r>
    </w:p>
    <w:p w:rsidR="00A1535E" w:rsidRPr="00A1535E" w:rsidRDefault="00A1535E" w:rsidP="00A1535E">
      <w:pPr>
        <w:rPr>
          <w:lang w:bidi="en-US"/>
        </w:rPr>
      </w:pPr>
    </w:p>
    <w:p w:rsidR="006E06CC" w:rsidRPr="006A33C1" w:rsidRDefault="006E06CC" w:rsidP="00A1535E">
      <w:pPr>
        <w:pStyle w:val="MDPI17abstract"/>
        <w:spacing w:before="0"/>
        <w:ind w:left="115"/>
        <w:rPr>
          <w:color w:val="auto"/>
        </w:rPr>
      </w:pPr>
      <w:r w:rsidRPr="006A33C1">
        <w:rPr>
          <w:b/>
        </w:rPr>
        <w:t xml:space="preserve">Abstract: </w:t>
      </w:r>
      <w:r w:rsidR="009A2357" w:rsidRPr="009A2357">
        <w:rPr>
          <w:rFonts w:cs="Calibri"/>
          <w:color w:val="222222"/>
          <w:shd w:val="clear" w:color="auto" w:fill="FFFFFF"/>
        </w:rPr>
        <w:t xml:space="preserve">Microsatellites are short, repetitive DNA sequences that can rapidly expand and contract due to slippage during DNA replication. Despite their impacts on transcription, genome structure, and disease, relatively little is known about the evolutionary dynamics of these short sequences across long evolutionary periods. To address this gap in our knowledge we have performed comparative analyses of </w:t>
      </w:r>
      <w:del w:id="1" w:author="Microsoft Office User" w:date="2020-07-30T09:37:00Z">
        <w:r w:rsidR="009A2357" w:rsidRPr="009A2357" w:rsidDel="001F101E">
          <w:rPr>
            <w:rFonts w:cs="Calibri"/>
            <w:color w:val="222222"/>
            <w:shd w:val="clear" w:color="auto" w:fill="FFFFFF"/>
          </w:rPr>
          <w:delText xml:space="preserve">303 </w:delText>
        </w:r>
      </w:del>
      <w:ins w:id="2" w:author="Microsoft Office User" w:date="2020-07-30T09:37:00Z">
        <w:r w:rsidR="001F101E" w:rsidRPr="009A2357">
          <w:rPr>
            <w:rFonts w:cs="Calibri"/>
            <w:color w:val="222222"/>
            <w:shd w:val="clear" w:color="auto" w:fill="FFFFFF"/>
          </w:rPr>
          <w:t>30</w:t>
        </w:r>
      </w:ins>
      <w:ins w:id="3" w:author="Microsoft Office User" w:date="2020-07-30T09:41:00Z">
        <w:r w:rsidR="001F101E">
          <w:rPr>
            <w:rFonts w:cs="Calibri"/>
            <w:color w:val="222222"/>
            <w:shd w:val="clear" w:color="auto" w:fill="FFFFFF"/>
          </w:rPr>
          <w:t>4</w:t>
        </w:r>
      </w:ins>
      <w:ins w:id="4" w:author="Microsoft Office User" w:date="2020-07-30T09:37:00Z">
        <w:r w:rsidR="001F101E" w:rsidRPr="009A2357">
          <w:rPr>
            <w:rFonts w:cs="Calibri"/>
            <w:color w:val="222222"/>
            <w:shd w:val="clear" w:color="auto" w:fill="FFFFFF"/>
          </w:rPr>
          <w:t xml:space="preserve"> </w:t>
        </w:r>
      </w:ins>
      <w:r w:rsidR="009A2357" w:rsidRPr="009A2357">
        <w:rPr>
          <w:rFonts w:cs="Calibri"/>
          <w:color w:val="222222"/>
          <w:shd w:val="clear" w:color="auto" w:fill="FFFFFF"/>
        </w:rPr>
        <w:t xml:space="preserve">available insect genomes. We have investigated the impact of sequence assembly methods and assembly quality on the inference of microsatellite content and explored the influence of chromosome type and number on the tempo and mode of microsatellite evolution across one of the most speciose clades on the planet. Diploid chromosome number had no impact on the rate of microsatellite evolution or the amount of microsatellite content in genomes. </w:t>
      </w:r>
      <w:r w:rsidR="009A2357" w:rsidRPr="00676B17">
        <w:rPr>
          <w:rFonts w:cs="Calibri"/>
          <w:color w:val="222222"/>
          <w:shd w:val="clear" w:color="auto" w:fill="FFFFFF"/>
        </w:rPr>
        <w:t xml:space="preserve">We find that centromere type (holocentric or monocentric) is not associated with a difference in the amount of microsatellite content, but </w:t>
      </w:r>
      <w:ins w:id="5" w:author="Microsoft Office User" w:date="2020-07-30T09:06:00Z">
        <w:r w:rsidR="00676B17" w:rsidRPr="00676B17">
          <w:rPr>
            <w:rFonts w:cs="Calibri"/>
            <w:color w:val="222222"/>
            <w:shd w:val="clear" w:color="auto" w:fill="FFFFFF"/>
          </w:rPr>
          <w:t xml:space="preserve">in </w:t>
        </w:r>
      </w:ins>
      <w:r w:rsidR="009A2357" w:rsidRPr="00676B17">
        <w:rPr>
          <w:rFonts w:cs="Calibri"/>
          <w:color w:val="222222"/>
          <w:shd w:val="clear" w:color="auto" w:fill="FFFFFF"/>
        </w:rPr>
        <w:t xml:space="preserve">those species with monocentric chromosomes </w:t>
      </w:r>
      <w:ins w:id="6" w:author="Microsoft Office User" w:date="2020-07-30T09:06:00Z">
        <w:r w:rsidR="00676B17" w:rsidRPr="00676B17">
          <w:rPr>
            <w:rFonts w:cs="Calibri"/>
            <w:color w:val="222222"/>
            <w:shd w:val="clear" w:color="auto" w:fill="FFFFFF"/>
          </w:rPr>
          <w:t xml:space="preserve">microsatellite content tends to </w:t>
        </w:r>
      </w:ins>
      <w:r w:rsidR="009A2357" w:rsidRPr="00676B17">
        <w:rPr>
          <w:rFonts w:cs="Calibri"/>
          <w:color w:val="222222"/>
          <w:shd w:val="clear" w:color="auto" w:fill="FFFFFF"/>
        </w:rPr>
        <w:t xml:space="preserve">evolve faster than </w:t>
      </w:r>
      <w:ins w:id="7" w:author="Microsoft Office User" w:date="2020-07-30T09:07:00Z">
        <w:r w:rsidR="00676B17" w:rsidRPr="00676B17">
          <w:rPr>
            <w:rFonts w:cs="Calibri"/>
            <w:color w:val="222222"/>
            <w:shd w:val="clear" w:color="auto" w:fill="FFFFFF"/>
          </w:rPr>
          <w:t xml:space="preserve">in </w:t>
        </w:r>
      </w:ins>
      <w:r w:rsidR="009A2357" w:rsidRPr="00676B17">
        <w:rPr>
          <w:rFonts w:cs="Calibri"/>
          <w:color w:val="222222"/>
          <w:shd w:val="clear" w:color="auto" w:fill="FFFFFF"/>
        </w:rPr>
        <w:t>species with holocentric chromosomes.</w:t>
      </w:r>
    </w:p>
    <w:p w:rsidR="006E06CC" w:rsidRPr="006A33C1" w:rsidRDefault="006E06CC" w:rsidP="006E06CC">
      <w:pPr>
        <w:pStyle w:val="MDPI18keywords"/>
      </w:pPr>
      <w:r w:rsidRPr="006A33C1">
        <w:rPr>
          <w:b/>
        </w:rPr>
        <w:t xml:space="preserve">Keywords: </w:t>
      </w:r>
      <w:r w:rsidR="009A2357" w:rsidRPr="009A2357">
        <w:rPr>
          <w:rFonts w:cs="Calibri"/>
        </w:rPr>
        <w:t>Microsatellite evolution</w:t>
      </w:r>
      <w:r w:rsidR="009A2357">
        <w:rPr>
          <w:rFonts w:cs="Calibri"/>
        </w:rPr>
        <w:t>;</w:t>
      </w:r>
      <w:r w:rsidR="009A2357" w:rsidRPr="009A2357">
        <w:rPr>
          <w:rFonts w:cs="Calibri"/>
        </w:rPr>
        <w:t xml:space="preserve"> insects</w:t>
      </w:r>
      <w:r w:rsidR="009A2357">
        <w:rPr>
          <w:rFonts w:cs="Calibri"/>
        </w:rPr>
        <w:t>;</w:t>
      </w:r>
      <w:r w:rsidR="009A2357" w:rsidRPr="009A2357">
        <w:rPr>
          <w:rFonts w:cs="Calibri"/>
        </w:rPr>
        <w:t xml:space="preserve"> repetitive DNA</w:t>
      </w:r>
      <w:r w:rsidR="009A2357">
        <w:rPr>
          <w:rFonts w:cs="Calibri"/>
        </w:rPr>
        <w:t>;</w:t>
      </w:r>
      <w:r w:rsidR="009A2357" w:rsidRPr="009A2357">
        <w:rPr>
          <w:rFonts w:cs="Calibri"/>
        </w:rPr>
        <w:t xml:space="preserve"> chromosome evolution</w:t>
      </w:r>
      <w:r w:rsidR="009A2357">
        <w:rPr>
          <w:rFonts w:cs="Calibri"/>
        </w:rPr>
        <w:t>;</w:t>
      </w:r>
      <w:r w:rsidR="009A2357" w:rsidRPr="009A2357">
        <w:rPr>
          <w:rFonts w:cs="Calibri"/>
        </w:rPr>
        <w:t xml:space="preserve"> genome size</w:t>
      </w:r>
      <w:r w:rsidR="009A2357">
        <w:rPr>
          <w:rFonts w:cs="Calibri"/>
        </w:rPr>
        <w:t>; centromere</w:t>
      </w:r>
    </w:p>
    <w:p w:rsidR="006E06CC" w:rsidRPr="006A33C1" w:rsidRDefault="006E06CC" w:rsidP="006E06CC">
      <w:pPr>
        <w:pStyle w:val="MDPI19line"/>
      </w:pPr>
    </w:p>
    <w:p w:rsidR="006E06CC" w:rsidRPr="006A33C1" w:rsidRDefault="006E06CC" w:rsidP="00A1535E">
      <w:pPr>
        <w:pStyle w:val="MDPI21heading1"/>
        <w:spacing w:before="0" w:after="0"/>
      </w:pPr>
      <w:r w:rsidRPr="006A33C1">
        <w:rPr>
          <w:lang w:eastAsia="zh-CN"/>
        </w:rPr>
        <w:t xml:space="preserve">1. </w:t>
      </w:r>
      <w:r w:rsidRPr="006A33C1">
        <w:t>Introduction</w:t>
      </w:r>
    </w:p>
    <w:p w:rsidR="009A2357" w:rsidRDefault="009A2357" w:rsidP="00A1535E">
      <w:pPr>
        <w:pStyle w:val="MDPI21heading1"/>
        <w:spacing w:before="0" w:after="0"/>
        <w:ind w:firstLine="420"/>
        <w:rPr>
          <w:b w:val="0"/>
          <w:bCs/>
        </w:rPr>
      </w:pPr>
      <w:r w:rsidRPr="009A2357">
        <w:rPr>
          <w:b w:val="0"/>
          <w:bCs/>
        </w:rPr>
        <w:t xml:space="preserve">Genomes contain a variety of sequence classes many of which are repetitive in nature. The smallest of these are microsatellites, simple sequence repeats that have a 2-6 base pair repeating motif. Microsatellites are highly polymorphic sequences that are most commonly found within non-coding portions of the genome, however, they can also be located in regulatory or intronic regions as well </w:t>
      </w:r>
      <w:r w:rsidRPr="009A2357">
        <w:rPr>
          <w:b w:val="0"/>
          <w:bCs/>
        </w:rPr>
        <w:fldChar w:fldCharType="begin">
          <w:fldData xml:space="preserve">PEVuZE5vdGU+PENpdGU+PEF1dGhvcj5NZXR6Z2FyPC9BdXRob3I+PFllYXI+MjAwMDwvWWVhcj48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</w:fldData>
        </w:fldChar>
      </w:r>
      <w:r w:rsidR="008D249A">
        <w:rPr>
          <w:b w:val="0"/>
          <w:bCs/>
        </w:rPr>
        <w:instrText xml:space="preserve"> ADDIN EN.CITE </w:instrText>
      </w:r>
      <w:r w:rsidR="008D249A">
        <w:rPr>
          <w:b w:val="0"/>
          <w:bCs/>
        </w:rPr>
        <w:fldChar w:fldCharType="begin">
          <w:fldData xml:space="preserve">PEVuZE5vdGU+PENpdGU+PEF1dGhvcj5NZXR6Z2FyPC9BdXRob3I+PFllYXI+MjAwMDwvWWVhcj48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</w:fldData>
        </w:fldChar>
      </w:r>
      <w:r w:rsidR="008D249A">
        <w:rPr>
          <w:b w:val="0"/>
          <w:bCs/>
        </w:rPr>
        <w:instrText xml:space="preserve"> ADDIN EN.CITE.DATA </w:instrText>
      </w:r>
      <w:r w:rsidR="008D249A">
        <w:rPr>
          <w:b w:val="0"/>
          <w:bCs/>
        </w:rPr>
      </w:r>
      <w:r w:rsidR="008D249A">
        <w:rPr>
          <w:b w:val="0"/>
          <w:bCs/>
        </w:rPr>
        <w:fldChar w:fldCharType="end"/>
      </w:r>
      <w:r w:rsidRPr="009A2357">
        <w:rPr>
          <w:b w:val="0"/>
          <w:bCs/>
        </w:rPr>
        <w:fldChar w:fldCharType="separate"/>
      </w:r>
      <w:r w:rsidR="008D249A">
        <w:rPr>
          <w:b w:val="0"/>
          <w:bCs/>
          <w:noProof/>
        </w:rPr>
        <w:t>[1,2]</w:t>
      </w:r>
      <w:r w:rsidRPr="009A2357">
        <w:rPr>
          <w:b w:val="0"/>
          <w:bCs/>
        </w:rPr>
        <w:fldChar w:fldCharType="end"/>
      </w:r>
      <w:r w:rsidRPr="009A2357">
        <w:rPr>
          <w:b w:val="0"/>
          <w:bCs/>
        </w:rPr>
        <w:t xml:space="preserve">.  The location of microsatellites within the genome can have strong impacts on their stability. For instance, microsatellites occurring in regulatory or protein-coding regions tend to be highly conserved </w:t>
      </w:r>
      <w:r w:rsidRPr="009A2357">
        <w:rPr>
          <w:b w:val="0"/>
          <w:bCs/>
        </w:rPr>
        <w:fldChar w:fldCharType="begin">
          <w:fldData xml:space="preserve">PEVuZE5vdGU+PENpdGU+PEF1dGhvcj5Nb29yZTwvQXV0aG9yPjxZZWFyPjE5OTk8L1llYXI+PFJl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</w:fldData>
        </w:fldChar>
      </w:r>
      <w:r w:rsidR="008D249A">
        <w:rPr>
          <w:b w:val="0"/>
          <w:bCs/>
        </w:rPr>
        <w:instrText xml:space="preserve"> ADDIN EN.CITE </w:instrText>
      </w:r>
      <w:r w:rsidR="008D249A">
        <w:rPr>
          <w:b w:val="0"/>
          <w:bCs/>
        </w:rPr>
        <w:fldChar w:fldCharType="begin">
          <w:fldData xml:space="preserve">PEVuZE5vdGU+PENpdGU+PEF1dGhvcj5Nb29yZTwvQXV0aG9yPjxZZWFyPjE5OTk8L1llYXI+PFJl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</w:fldData>
        </w:fldChar>
      </w:r>
      <w:r w:rsidR="008D249A">
        <w:rPr>
          <w:b w:val="0"/>
          <w:bCs/>
        </w:rPr>
        <w:instrText xml:space="preserve"> ADDIN EN.CITE.DATA </w:instrText>
      </w:r>
      <w:r w:rsidR="008D249A">
        <w:rPr>
          <w:b w:val="0"/>
          <w:bCs/>
        </w:rPr>
      </w:r>
      <w:r w:rsidR="008D249A">
        <w:rPr>
          <w:b w:val="0"/>
          <w:bCs/>
        </w:rPr>
        <w:fldChar w:fldCharType="end"/>
      </w:r>
      <w:r w:rsidRPr="009A2357">
        <w:rPr>
          <w:b w:val="0"/>
          <w:bCs/>
        </w:rPr>
        <w:fldChar w:fldCharType="separate"/>
      </w:r>
      <w:r w:rsidR="008D249A">
        <w:rPr>
          <w:b w:val="0"/>
          <w:bCs/>
          <w:noProof/>
        </w:rPr>
        <w:t>[3,4]</w:t>
      </w:r>
      <w:r w:rsidRPr="009A2357">
        <w:rPr>
          <w:b w:val="0"/>
          <w:bCs/>
        </w:rPr>
        <w:fldChar w:fldCharType="end"/>
      </w:r>
      <w:r w:rsidRPr="009A2357">
        <w:rPr>
          <w:b w:val="0"/>
          <w:bCs/>
        </w:rPr>
        <w:t xml:space="preserve">. Similarly, conserved noncoding microsatellites which occur in the 5’ flanking regions of some protein coding genes in plants, are as their name suggests conserved among species possibly for their role in gene regulation </w:t>
      </w:r>
      <w:r w:rsidRPr="009A2357">
        <w:rPr>
          <w:b w:val="0"/>
          <w:bCs/>
        </w:rPr>
        <w:fldChar w:fldCharType="begin">
          <w:fldData xml:space="preserve">PEVuZE5vdGU+PENpdGU+PEF1dGhvcj5aaGFuZzwvQXV0aG9yPjxZZWFyPjIwMDY8L1llYXI+PFJl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</w:fldData>
        </w:fldChar>
      </w:r>
      <w:r w:rsidR="008D249A">
        <w:rPr>
          <w:b w:val="0"/>
          <w:bCs/>
        </w:rPr>
        <w:instrText xml:space="preserve"> ADDIN EN.CITE </w:instrText>
      </w:r>
      <w:r w:rsidR="008D249A">
        <w:rPr>
          <w:b w:val="0"/>
          <w:bCs/>
        </w:rPr>
        <w:fldChar w:fldCharType="begin">
          <w:fldData xml:space="preserve">PEVuZE5vdGU+PENpdGU+PEF1dGhvcj5aaGFuZzwvQXV0aG9yPjxZZWFyPjIwMDY8L1llYXI+PFJl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</w:fldData>
        </w:fldChar>
      </w:r>
      <w:r w:rsidR="008D249A">
        <w:rPr>
          <w:b w:val="0"/>
          <w:bCs/>
        </w:rPr>
        <w:instrText xml:space="preserve"> ADDIN EN.CITE.DATA </w:instrText>
      </w:r>
      <w:r w:rsidR="008D249A">
        <w:rPr>
          <w:b w:val="0"/>
          <w:bCs/>
        </w:rPr>
      </w:r>
      <w:r w:rsidR="008D249A">
        <w:rPr>
          <w:b w:val="0"/>
          <w:bCs/>
        </w:rPr>
        <w:fldChar w:fldCharType="end"/>
      </w:r>
      <w:r w:rsidRPr="009A2357">
        <w:rPr>
          <w:b w:val="0"/>
          <w:bCs/>
        </w:rPr>
        <w:fldChar w:fldCharType="separate"/>
      </w:r>
      <w:r w:rsidR="008D249A">
        <w:rPr>
          <w:b w:val="0"/>
          <w:bCs/>
          <w:noProof/>
        </w:rPr>
        <w:t>[5,6]</w:t>
      </w:r>
      <w:r w:rsidRPr="009A2357">
        <w:rPr>
          <w:b w:val="0"/>
          <w:bCs/>
        </w:rPr>
        <w:fldChar w:fldCharType="end"/>
      </w:r>
      <w:r w:rsidRPr="009A2357">
        <w:rPr>
          <w:b w:val="0"/>
          <w:bCs/>
        </w:rPr>
        <w:t xml:space="preserve">. In contrast, microsatellites found in regions without regulatory or coding functions (e.g. intergenic and some intronic regions) are likely to have little impact on organism fitness and thus their frequency and distribution should reflect the underlying mutation processes </w:t>
      </w:r>
      <w:r w:rsidRPr="009A2357">
        <w:rPr>
          <w:b w:val="0"/>
          <w:bCs/>
        </w:rPr>
        <w:fldChar w:fldCharType="begin"/>
      </w:r>
      <w:r w:rsidR="008D249A">
        <w:rPr>
          <w:b w:val="0"/>
          <w:bCs/>
        </w:rPr>
        <w:instrText xml:space="preserve"> ADDIN EN.CITE &lt;EndNote&gt;&lt;Cite&gt;&lt;Author&gt;Ellegren&lt;/Author&gt;&lt;Year&gt;2000&lt;/Year&gt;&lt;RecNum&gt;159&lt;/RecNum&gt;&lt;DisplayText&gt;&lt;style size="10"&gt;[7]&lt;/style&gt;&lt;/DisplayText&gt;&lt;record&gt;&lt;rec-number&gt;159&lt;/rec-number&gt;&lt;foreign-keys&gt;&lt;key app="EN" db-id="psx5aavda22efleatx5vaweatapzwapastxd" timestamp="1582062982" guid="e18a305c-5bda-45c8-907e-56fcbe9ed16f"&gt;159&lt;/key&gt;&lt;/foreign-keys&gt;&lt;ref-type name="Journal Article"&gt;17&lt;/ref-type&gt;&lt;contributors&gt;&lt;authors&gt;&lt;author&gt;Ellegren, Hans&lt;/author&gt;&lt;/authors&gt;&lt;/contributors&gt;&lt;titles&gt;&lt;title&gt;Microsatellite mutations in the germline:: implications for evolutionary inference&lt;/title&gt;&lt;secondary-title&gt;Trends in Genetics&lt;/secondary-title&gt;&lt;/titles&gt;&lt;periodical&gt;&lt;full-title&gt;Trends in Genetics&lt;/full-title&gt;&lt;/periodical&gt;&lt;pages&gt;551-558&lt;/pages&gt;&lt;volume&gt;16&lt;/volume&gt;&lt;number&gt;12&lt;/number&gt;&lt;dates&gt;&lt;year&gt;2000&lt;/year&gt;&lt;pub-dates&gt;&lt;date&gt;2000/12/01/&lt;/date&gt;&lt;/pub-dates&gt;&lt;/dates&gt;&lt;isbn&gt;0168-9525&lt;/isbn&gt;&lt;urls&gt;&lt;related-urls&gt;&lt;url&gt;http://www.sciencedirect.com/science/article/pii/S0168952500021399&lt;/url&gt;&lt;/related-urls&gt;&lt;/urls&gt;&lt;electronic-resource-num&gt;https://doi.org/10.1016/S0168-9525(00)02139-9&lt;/electronic-resource-num&gt;&lt;/record&gt;&lt;/Cite&gt;&lt;/EndNote&gt;</w:instrText>
      </w:r>
      <w:r w:rsidRPr="009A2357">
        <w:rPr>
          <w:b w:val="0"/>
          <w:bCs/>
        </w:rPr>
        <w:fldChar w:fldCharType="separate"/>
      </w:r>
      <w:r w:rsidR="008D249A">
        <w:rPr>
          <w:b w:val="0"/>
          <w:bCs/>
          <w:noProof/>
        </w:rPr>
        <w:t>[7]</w:t>
      </w:r>
      <w:r w:rsidRPr="009A2357">
        <w:rPr>
          <w:b w:val="0"/>
          <w:bCs/>
        </w:rPr>
        <w:fldChar w:fldCharType="end"/>
      </w:r>
      <w:r w:rsidRPr="009A2357">
        <w:rPr>
          <w:b w:val="0"/>
          <w:bCs/>
        </w:rPr>
        <w:t xml:space="preserve">.  </w:t>
      </w:r>
    </w:p>
    <w:p w:rsidR="009A2357" w:rsidRDefault="009A2357" w:rsidP="00A1535E">
      <w:pPr>
        <w:pStyle w:val="MDPI21heading1"/>
        <w:spacing w:before="0" w:after="0"/>
        <w:ind w:firstLine="420"/>
        <w:rPr>
          <w:b w:val="0"/>
          <w:bCs/>
        </w:rPr>
      </w:pPr>
      <w:r w:rsidRPr="009A2357">
        <w:rPr>
          <w:b w:val="0"/>
          <w:bCs/>
        </w:rPr>
        <w:t xml:space="preserve">Microsatellites have been useful to biologists as easily accessed genetic markers and some microsatellites have fundamental impacts on organismal functioning. Because of their relative neutrality microsatellites have been useful in inferences of population demography as well as genetic diversity </w:t>
      </w:r>
      <w:r w:rsidRPr="009A2357">
        <w:rPr>
          <w:b w:val="0"/>
          <w:bCs/>
        </w:rPr>
        <w:fldChar w:fldCharType="begin"/>
      </w:r>
      <w:r w:rsidR="008D249A">
        <w:rPr>
          <w:b w:val="0"/>
          <w:bCs/>
        </w:rPr>
        <w:instrText xml:space="preserve"> ADDIN EN.CITE &lt;EndNote&gt;&lt;Cite&gt;&lt;Author&gt;Slatkin&lt;/Author&gt;&lt;Year&gt;1995&lt;/Year&gt;&lt;RecNum&gt;142&lt;/RecNum&gt;&lt;DisplayText&gt;&lt;style size="10"&gt;[8,9]&lt;/style&gt;&lt;/DisplayText&gt;&lt;record&gt;&lt;rec-number&gt;142&lt;/rec-number&gt;&lt;foreign-keys&gt;&lt;key app="EN" db-id="psx5aavda22efleatx5vaweatapzwapastxd" timestamp="1582062981" guid="e2417932-161e-45e3-83db-58c9e0772da6"&gt;142&lt;/key&gt;&lt;/foreign-keys&gt;&lt;ref-type name="Journal Article"&gt;17&lt;/ref-type&gt;&lt;contributors&gt;&lt;authors&gt;&lt;author&gt;Slatkin, Montgomery&lt;/author&gt;&lt;/authors&gt;&lt;/contributors&gt;&lt;titles&gt;&lt;title&gt;A measure of population subdivision based on microsatellite allele frequencies&lt;/title&gt;&lt;secondary-title&gt;Genetics&lt;/secondary-title&gt;&lt;/titles&gt;&lt;periodical&gt;&lt;full-title&gt;Genetics&lt;/full-title&gt;&lt;/periodical&gt;&lt;pages&gt;457-462&lt;/pages&gt;&lt;volume&gt;139&lt;/volume&gt;&lt;number&gt;1&lt;/number&gt;&lt;dates&gt;&lt;year&gt;1995&lt;/year&gt;&lt;/dates&gt;&lt;isbn&gt;0016-6731&lt;/isbn&gt;&lt;urls&gt;&lt;/urls&gt;&lt;/record&gt;&lt;/Cite&gt;&lt;Cite&gt;&lt;Author&gt;Criscione&lt;/Author&gt;&lt;Year&gt;2011&lt;/Year&gt;&lt;RecNum&gt;2803&lt;/RecNum&gt;&lt;record&gt;&lt;rec-number&gt;2803&lt;/rec-number&gt;&lt;foreign-keys&gt;&lt;key app="EN" db-id="20tzrfeaqpde50e5e2dvtwp7sr5fsss0txe9" timestamp="1582735474"&gt;2803&lt;/key&gt;&lt;/foreign-keys&gt;&lt;ref-type name="Journal Article"&gt;17&lt;/ref-type&gt;&lt;contributors&gt;&lt;authors&gt;&lt;author&gt;Criscione, Charles D&lt;/author&gt;&lt;author&gt;Vilas, Roman&lt;/author&gt;&lt;author&gt;Paniagua, Esperanza&lt;/author&gt;&lt;author&gt;Blouin, Michael S&lt;/author&gt;&lt;/authors&gt;&lt;/contributors&gt;&lt;titles&gt;&lt;title&gt;More than meets the eye: detecting cryptic microgeographic population structure in a parasite with a complex life cycle&lt;/title&gt;&lt;secondary-title&gt;Molecular Ecology&lt;/secondary-title&gt;&lt;/titles&gt;&lt;periodical&gt;&lt;full-title&gt;Molecular ecology&lt;/full-title&gt;&lt;/periodical&gt;&lt;pages&gt;2510-2524&lt;/pages&gt;&lt;volume&gt;20&lt;/volume&gt;&lt;number&gt;12&lt;/number&gt;&lt;dates&gt;&lt;year&gt;2011&lt;/year&gt;&lt;/dates&gt;&lt;isbn&gt;0962-1083&lt;/isbn&gt;&lt;urls&gt;&lt;/urls&gt;&lt;/record&gt;&lt;/Cite&gt;&lt;/EndNote&gt;</w:instrText>
      </w:r>
      <w:r w:rsidRPr="009A2357">
        <w:rPr>
          <w:b w:val="0"/>
          <w:bCs/>
        </w:rPr>
        <w:fldChar w:fldCharType="separate"/>
      </w:r>
      <w:r w:rsidR="008D249A">
        <w:rPr>
          <w:b w:val="0"/>
          <w:bCs/>
          <w:noProof/>
        </w:rPr>
        <w:t>[8,9]</w:t>
      </w:r>
      <w:r w:rsidRPr="009A2357">
        <w:rPr>
          <w:b w:val="0"/>
          <w:bCs/>
        </w:rPr>
        <w:fldChar w:fldCharType="end"/>
      </w:r>
      <w:r w:rsidRPr="009A2357">
        <w:rPr>
          <w:b w:val="0"/>
          <w:bCs/>
        </w:rPr>
        <w:t xml:space="preserve">. The large quantity and variability in microsatellites even within a species makes them useful for forensics </w:t>
      </w:r>
      <w:r w:rsidRPr="009A2357">
        <w:rPr>
          <w:b w:val="0"/>
          <w:bCs/>
        </w:rPr>
        <w:fldChar w:fldCharType="begin"/>
      </w:r>
      <w:r w:rsidR="008D249A">
        <w:rPr>
          <w:b w:val="0"/>
          <w:bCs/>
        </w:rPr>
        <w:instrText xml:space="preserve"> ADDIN EN.CITE &lt;EndNote&gt;&lt;Cite&gt;&lt;Author&gt;Ballantyne&lt;/Author&gt;&lt;Year&gt;2010&lt;/Year&gt;&lt;RecNum&gt;143&lt;/RecNum&gt;&lt;DisplayText&gt;&lt;style size="10"&gt;[10]&lt;/style&gt;&lt;/DisplayText&gt;&lt;record&gt;&lt;rec-number&gt;143&lt;/rec-number&gt;&lt;foreign-keys&gt;&lt;key app="EN" db-id="psx5aavda22efleatx5vaweatapzwapastxd" timestamp="1582062982" guid="c3804079-ac4f-4176-a25f-56f00c2e1cdb"&gt;143&lt;/key&gt;&lt;/foreign-keys&gt;&lt;ref-type name="Journal Article"&gt;17&lt;/ref-type&gt;&lt;contributors&gt;&lt;authors&gt;&lt;author&gt;Ballantyne, Kaye N&lt;/author&gt;&lt;author&gt;Goedbloed, Miriam&lt;/author&gt;&lt;author&gt;Fang, Rixun&lt;/author&gt;&lt;author&gt;Schaap, Onno&lt;/author&gt;&lt;author&gt;Lao, Oscar&lt;/author&gt;&lt;author&gt;Wollstein, Andreas&lt;/author&gt;&lt;author&gt;Choi, Ying&lt;/author&gt;&lt;author&gt;van Duijn, Kate&lt;/author&gt;&lt;author&gt;Vermeulen, Mark&lt;/author&gt;&lt;author&gt;Brauer, Silke&lt;/author&gt;&lt;/authors&gt;&lt;/contributors&gt;&lt;titles&gt;&lt;title&gt;Mutability of Y-chromosomal microsatellites: rates, characteristics, molecular bases, and forensic implications&lt;/title&gt;&lt;secondary-title&gt;The American Journal of Human Genetics&lt;/secondary-title&gt;&lt;/titles&gt;&lt;periodical&gt;&lt;full-title&gt;The American Journal of Human Genetics&lt;/full-title&gt;&lt;/periodical&gt;&lt;pages&gt;341-353&lt;/pages&gt;&lt;volume&gt;87&lt;/volume&gt;&lt;number&gt;3&lt;/number&gt;&lt;dates&gt;&lt;year&gt;2010&lt;/year&gt;&lt;/dates&gt;&lt;isbn&gt;0002-9297&lt;/isbn&gt;&lt;urls&gt;&lt;/urls&gt;&lt;/record&gt;&lt;/Cite&gt;&lt;/EndNote&gt;</w:instrText>
      </w:r>
      <w:r w:rsidRPr="009A2357">
        <w:rPr>
          <w:b w:val="0"/>
          <w:bCs/>
        </w:rPr>
        <w:fldChar w:fldCharType="separate"/>
      </w:r>
      <w:r w:rsidR="008D249A">
        <w:rPr>
          <w:b w:val="0"/>
          <w:bCs/>
          <w:noProof/>
        </w:rPr>
        <w:t>[10]</w:t>
      </w:r>
      <w:r w:rsidRPr="009A2357">
        <w:rPr>
          <w:b w:val="0"/>
          <w:bCs/>
        </w:rPr>
        <w:fldChar w:fldCharType="end"/>
      </w:r>
      <w:r w:rsidRPr="009A2357">
        <w:rPr>
          <w:b w:val="0"/>
          <w:bCs/>
        </w:rPr>
        <w:t xml:space="preserve">, kinship analysis </w:t>
      </w:r>
      <w:r w:rsidRPr="009A2357">
        <w:rPr>
          <w:b w:val="0"/>
          <w:bCs/>
        </w:rPr>
        <w:fldChar w:fldCharType="begin"/>
      </w:r>
      <w:r w:rsidR="008D249A">
        <w:rPr>
          <w:b w:val="0"/>
          <w:bCs/>
        </w:rPr>
        <w:instrText xml:space="preserve"> ADDIN EN.CITE &lt;EndNote&gt;&lt;Cite&gt;&lt;Author&gt;Blouin&lt;/Author&gt;&lt;Year&gt;2003&lt;/Year&gt;&lt;RecNum&gt;144&lt;/RecNum&gt;&lt;DisplayText&gt;&lt;style size="10"&gt;[11]&lt;/style&gt;&lt;/DisplayText&gt;&lt;record&gt;&lt;rec-number&gt;144&lt;/rec-number&gt;&lt;foreign-keys&gt;&lt;key app="EN" db-id="psx5aavda22efleatx5vaweatapzwapastxd" timestamp="1582062982" guid="6bef9d8b-8c09-42f0-86f5-1f4026a19650"&gt;144&lt;/key&gt;&lt;/foreign-keys&gt;&lt;ref-type name="Journal Article"&gt;17&lt;/ref-type&gt;&lt;contributors&gt;&lt;authors&gt;&lt;author&gt;Blouin, Michael S&lt;/author&gt;&lt;/authors&gt;&lt;/contributors&gt;&lt;titles&gt;&lt;title&gt;DNA-based methods for pedigree reconstruction and kinship analysis in natural populations&lt;/title&gt;&lt;secondary-title&gt;Trends in Ecology &amp;amp; Evolution&lt;/secondary-title&gt;&lt;/titles&gt;&lt;periodical&gt;&lt;full-title&gt;Trends in Ecology &amp;amp; Evolution&lt;/full-title&gt;&lt;/periodical&gt;&lt;pages&gt;503-511&lt;/pages&gt;&lt;volume&gt;18&lt;/volume&gt;&lt;number&gt;10&lt;/number&gt;&lt;dates&gt;&lt;year&gt;2003&lt;/year&gt;&lt;/dates&gt;&lt;isbn&gt;0169-5347&lt;/isbn&gt;&lt;urls&gt;&lt;/urls&gt;&lt;/record&gt;&lt;/Cite&gt;&lt;/EndNote&gt;</w:instrText>
      </w:r>
      <w:r w:rsidRPr="009A2357">
        <w:rPr>
          <w:b w:val="0"/>
          <w:bCs/>
        </w:rPr>
        <w:fldChar w:fldCharType="separate"/>
      </w:r>
      <w:r w:rsidR="008D249A">
        <w:rPr>
          <w:b w:val="0"/>
          <w:bCs/>
          <w:noProof/>
        </w:rPr>
        <w:t>[11]</w:t>
      </w:r>
      <w:r w:rsidRPr="009A2357">
        <w:rPr>
          <w:b w:val="0"/>
          <w:bCs/>
        </w:rPr>
        <w:fldChar w:fldCharType="end"/>
      </w:r>
      <w:r w:rsidRPr="009A2357">
        <w:rPr>
          <w:b w:val="0"/>
          <w:bCs/>
        </w:rPr>
        <w:t xml:space="preserve">, and medical profiling </w:t>
      </w:r>
      <w:r w:rsidRPr="009A2357">
        <w:rPr>
          <w:b w:val="0"/>
          <w:bCs/>
        </w:rPr>
        <w:fldChar w:fldCharType="begin"/>
      </w:r>
      <w:r w:rsidR="008D249A">
        <w:rPr>
          <w:b w:val="0"/>
          <w:bCs/>
        </w:rPr>
        <w:instrText xml:space="preserve"> ADDIN EN.CITE &lt;EndNote&gt;&lt;Cite&gt;&lt;Author&gt;Highnam&lt;/Author&gt;&lt;Year&gt;2012&lt;/Year&gt;&lt;RecNum&gt;151&lt;/RecNum&gt;&lt;DisplayText&gt;&lt;style size="10"&gt;[12]&lt;/style&gt;&lt;/DisplayText&gt;&lt;record&gt;&lt;rec-number&gt;151&lt;/rec-number&gt;&lt;foreign-keys&gt;&lt;key app="EN" db-id="psx5aavda22efleatx5vaweatapzwapastxd" timestamp="1582062982" guid="ba9b758e-a0cf-4b90-9105-8134356f1b00"&gt;151&lt;/key&gt;&lt;/foreign-keys&gt;&lt;ref-type name="Journal Article"&gt;17&lt;/ref-type&gt;&lt;contributors&gt;&lt;authors&gt;&lt;author&gt;Highnam, Gareth&lt;/author&gt;&lt;author&gt;Franck, Christopher&lt;/author&gt;&lt;author&gt;Martin, Andy&lt;/author&gt;&lt;author&gt;Stephens, Calvin&lt;/author&gt;&lt;author&gt;Puthige, Ashwin&lt;/author&gt;&lt;author&gt;Mittelman, David&lt;/author&gt;&lt;/authors&gt;&lt;/contributors&gt;&lt;titles&gt;&lt;title&gt;Accurate human microsatellite genotypes from high-throughput resequencing data using informed error profiles&lt;/title&gt;&lt;secondary-title&gt;Nucleic Acids Research&lt;/secondary-title&gt;&lt;/titles&gt;&lt;periodical&gt;&lt;full-title&gt;Nucleic Acids Research&lt;/full-title&gt;&lt;/periodical&gt;&lt;pages&gt;e32-e32&lt;/pages&gt;&lt;volume&gt;41&lt;/volume&gt;&lt;number&gt;1&lt;/number&gt;&lt;dates&gt;&lt;year&gt;2012&lt;/year&gt;&lt;/dates&gt;&lt;isbn&gt;1362-4962&lt;/isbn&gt;&lt;urls&gt;&lt;/urls&gt;&lt;/record&gt;&lt;/Cite&gt;&lt;/EndNote&gt;</w:instrText>
      </w:r>
      <w:r w:rsidRPr="009A2357">
        <w:rPr>
          <w:b w:val="0"/>
          <w:bCs/>
        </w:rPr>
        <w:fldChar w:fldCharType="separate"/>
      </w:r>
      <w:r w:rsidR="008D249A">
        <w:rPr>
          <w:b w:val="0"/>
          <w:bCs/>
          <w:noProof/>
        </w:rPr>
        <w:t>[12]</w:t>
      </w:r>
      <w:r w:rsidRPr="009A2357">
        <w:rPr>
          <w:b w:val="0"/>
          <w:bCs/>
        </w:rPr>
        <w:fldChar w:fldCharType="end"/>
      </w:r>
      <w:r w:rsidRPr="009A2357">
        <w:rPr>
          <w:b w:val="0"/>
          <w:bCs/>
        </w:rPr>
        <w:t>. Microsatellites also play an important</w:t>
      </w:r>
      <w:ins w:id="8" w:author="Microsoft Office User" w:date="2020-07-23T23:07:00Z">
        <w:r w:rsidR="00821415">
          <w:rPr>
            <w:b w:val="0"/>
            <w:bCs/>
          </w:rPr>
          <w:t xml:space="preserve"> role</w:t>
        </w:r>
      </w:ins>
      <w:r w:rsidRPr="009A2357">
        <w:rPr>
          <w:b w:val="0"/>
          <w:bCs/>
        </w:rPr>
        <w:t xml:space="preserve"> in chromatin organization </w:t>
      </w:r>
      <w:r w:rsidRPr="009A2357">
        <w:rPr>
          <w:b w:val="0"/>
          <w:bCs/>
        </w:rPr>
        <w:fldChar w:fldCharType="begin">
          <w:fldData xml:space="preserve">PEVuZE5vdGU+PENpdGU+PEF1dGhvcj5GaWVsZCBEPC9BdXRob3I+PFllYXI+MTk5ODwvWWVhcj48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</w:fldData>
        </w:fldChar>
      </w:r>
      <w:r w:rsidR="008D249A">
        <w:rPr>
          <w:b w:val="0"/>
          <w:bCs/>
        </w:rPr>
        <w:instrText xml:space="preserve"> ADDIN EN.CITE </w:instrText>
      </w:r>
      <w:r w:rsidR="008D249A">
        <w:rPr>
          <w:b w:val="0"/>
          <w:bCs/>
        </w:rPr>
        <w:fldChar w:fldCharType="begin">
          <w:fldData xml:space="preserve">PEVuZE5vdGU+PENpdGU+PEF1dGhvcj5GaWVsZCBEPC9BdXRob3I+PFllYXI+MTk5ODwvWWVhcj48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</w:fldData>
        </w:fldChar>
      </w:r>
      <w:r w:rsidR="008D249A">
        <w:rPr>
          <w:b w:val="0"/>
          <w:bCs/>
        </w:rPr>
        <w:instrText xml:space="preserve"> ADDIN EN.CITE.DATA </w:instrText>
      </w:r>
      <w:r w:rsidR="008D249A">
        <w:rPr>
          <w:b w:val="0"/>
          <w:bCs/>
        </w:rPr>
      </w:r>
      <w:r w:rsidR="008D249A">
        <w:rPr>
          <w:b w:val="0"/>
          <w:bCs/>
        </w:rPr>
        <w:fldChar w:fldCharType="end"/>
      </w:r>
      <w:r w:rsidRPr="009A2357">
        <w:rPr>
          <w:b w:val="0"/>
          <w:bCs/>
        </w:rPr>
        <w:fldChar w:fldCharType="separate"/>
      </w:r>
      <w:r w:rsidR="008D249A">
        <w:rPr>
          <w:b w:val="0"/>
          <w:bCs/>
          <w:noProof/>
        </w:rPr>
        <w:t>[13]</w:t>
      </w:r>
      <w:r w:rsidRPr="009A2357">
        <w:rPr>
          <w:b w:val="0"/>
          <w:bCs/>
        </w:rPr>
        <w:fldChar w:fldCharType="end"/>
      </w:r>
      <w:r w:rsidRPr="009A2357">
        <w:rPr>
          <w:b w:val="0"/>
          <w:bCs/>
        </w:rPr>
        <w:t xml:space="preserve">, DNA structure </w:t>
      </w:r>
      <w:r w:rsidRPr="009A2357">
        <w:rPr>
          <w:b w:val="0"/>
          <w:bCs/>
        </w:rPr>
        <w:fldChar w:fldCharType="begin"/>
      </w:r>
      <w:r w:rsidR="008D249A">
        <w:rPr>
          <w:b w:val="0"/>
          <w:bCs/>
        </w:rPr>
        <w:instrText xml:space="preserve"> ADDIN EN.CITE &lt;EndNote&gt;&lt;Cite&gt;&lt;Author&gt;Pearson&lt;/Author&gt;&lt;Year&gt;1996&lt;/Year&gt;&lt;RecNum&gt;186&lt;/RecNum&gt;&lt;DisplayText&gt;&lt;style size="10"&gt;[14]&lt;/style&gt;&lt;/DisplayText&gt;&lt;record&gt;&lt;rec-number&gt;186&lt;/rec-number&gt;&lt;foreign-keys&gt;&lt;key app="EN" db-id="psx5aavda22efleatx5vaweatapzwapastxd" timestamp="1582062983" guid="7a0205db-36ca-4653-84a5-d4ccc8f3d77d"&gt;186&lt;/key&gt;&lt;/foreign-keys&gt;&lt;ref-type name="Journal Article"&gt;17&lt;/ref-type&gt;&lt;contributors&gt;&lt;authors&gt;&lt;author&gt;Pearson, Christopher E.&lt;/author&gt;&lt;author&gt;Sinden, Richard R.&lt;/author&gt;&lt;/authors&gt;&lt;/contributors&gt;&lt;titles&gt;&lt;title&gt;Alternative structures in duplex DNA formed within the trinucleotide repeats of the myotonic dystrophy and fragile X loci&lt;/title&gt;&lt;secondary-title&gt;Biochemistry&lt;/secondary-title&gt;&lt;/titles&gt;&lt;periodical&gt;&lt;full-title&gt;Biochemistry&lt;/full-title&gt;&lt;/periodical&gt;&lt;pages&gt;5041-5053&lt;/pages&gt;&lt;volume&gt;35&lt;/volume&gt;&lt;number&gt;15&lt;/number&gt;&lt;dates&gt;&lt;year&gt;1996&lt;/year&gt;&lt;pub-dates&gt;&lt;date&gt;1996/01/01&lt;/date&gt;&lt;/pub-dates&gt;&lt;/dates&gt;&lt;publisher&gt;American Chemical Society&lt;/publisher&gt;&lt;isbn&gt;0006-2960&lt;/isbn&gt;&lt;urls&gt;&lt;related-urls&gt;&lt;url&gt;https://doi.org/10.1021/bi9601013&lt;/url&gt;&lt;/related-urls&gt;&lt;/urls&gt;&lt;electronic-resource-num&gt;10.1021/bi9601013&lt;/electronic-resource-num&gt;&lt;/record&gt;&lt;/Cite&gt;&lt;/EndNote&gt;</w:instrText>
      </w:r>
      <w:r w:rsidRPr="009A2357">
        <w:rPr>
          <w:b w:val="0"/>
          <w:bCs/>
        </w:rPr>
        <w:fldChar w:fldCharType="separate"/>
      </w:r>
      <w:r w:rsidR="008D249A">
        <w:rPr>
          <w:b w:val="0"/>
          <w:bCs/>
          <w:noProof/>
        </w:rPr>
        <w:t>[14]</w:t>
      </w:r>
      <w:r w:rsidRPr="009A2357">
        <w:rPr>
          <w:b w:val="0"/>
          <w:bCs/>
        </w:rPr>
        <w:fldChar w:fldCharType="end"/>
      </w:r>
      <w:r w:rsidRPr="009A2357">
        <w:rPr>
          <w:b w:val="0"/>
          <w:bCs/>
        </w:rPr>
        <w:t xml:space="preserve"> and centromeres and telomere</w:t>
      </w:r>
      <w:ins w:id="9" w:author="Microsoft Office User" w:date="2020-07-23T23:07:00Z">
        <w:r w:rsidR="00821415">
          <w:rPr>
            <w:b w:val="0"/>
            <w:bCs/>
          </w:rPr>
          <w:t xml:space="preserve"> function</w:t>
        </w:r>
      </w:ins>
      <w:del w:id="10" w:author="Microsoft Office User" w:date="2020-07-23T23:07:00Z">
        <w:r w:rsidRPr="009A2357" w:rsidDel="00821415">
          <w:rPr>
            <w:b w:val="0"/>
            <w:bCs/>
          </w:rPr>
          <w:delText>s</w:delText>
        </w:r>
      </w:del>
      <w:r w:rsidRPr="009A2357">
        <w:rPr>
          <w:b w:val="0"/>
          <w:bCs/>
        </w:rPr>
        <w:t xml:space="preserve"> </w:t>
      </w:r>
      <w:r w:rsidRPr="009A2357">
        <w:rPr>
          <w:b w:val="0"/>
          <w:bCs/>
        </w:rPr>
        <w:fldChar w:fldCharType="begin"/>
      </w:r>
      <w:r w:rsidR="008D249A">
        <w:rPr>
          <w:b w:val="0"/>
          <w:bCs/>
        </w:rPr>
        <w:instrText xml:space="preserve"> ADDIN EN.CITE &lt;EndNote&gt;&lt;Cite&gt;&lt;Author&gt;Schmidt&lt;/Author&gt;&lt;Year&gt;1996&lt;/Year&gt;&lt;RecNum&gt;184&lt;/RecNum&gt;&lt;DisplayText&gt;&lt;style size="10"&gt;[15]&lt;/style&gt;&lt;/DisplayText&gt;&lt;record&gt;&lt;rec-number&gt;184&lt;/rec-number&gt;&lt;foreign-keys&gt;&lt;key app="EN" db-id="psx5aavda22efleatx5vaweatapzwapastxd" timestamp="1582062983" guid="48c1e0ef-55ad-4d9d-b2aa-943c879bc088"&gt;184&lt;/key&gt;&lt;/foreign-keys&gt;&lt;ref-type name="Journal Article"&gt;17&lt;/ref-type&gt;&lt;contributors&gt;&lt;authors&gt;&lt;author&gt;Schmidt, T.&lt;/author&gt;&lt;author&gt;Heslop-Harrison, J. S.&lt;/author&gt;&lt;/authors&gt;&lt;/contributors&gt;&lt;titles&gt;&lt;title&gt;The physical and genomic organization of microsatellites in sugar beet&lt;/title&gt;&lt;secondary-title&gt;Proceedings of the National Academy of Sciences&lt;/secondary-title&gt;&lt;/titles&gt;&lt;periodical&gt;&lt;full-title&gt;Proceedings of the National Academy of Sciences&lt;/full-title&gt;&lt;/periodical&gt;&lt;pages&gt;8761&lt;/pages&gt;&lt;volume&gt;93&lt;/volume&gt;&lt;number&gt;16&lt;/number&gt;&lt;dates&gt;&lt;year&gt;1996&lt;/year&gt;&lt;/dates&gt;&lt;urls&gt;&lt;related-urls&gt;&lt;url&gt;http://www.pnas.org/content/93/16/8761.abstract&lt;/url&gt;&lt;/related-urls&gt;&lt;/urls&gt;&lt;electronic-resource-num&gt;10.1073/pnas.93.16.8761&lt;/electronic-resource-num&gt;&lt;/record&gt;&lt;/Cite&gt;&lt;/EndNote&gt;</w:instrText>
      </w:r>
      <w:r w:rsidRPr="009A2357">
        <w:rPr>
          <w:b w:val="0"/>
          <w:bCs/>
        </w:rPr>
        <w:fldChar w:fldCharType="separate"/>
      </w:r>
      <w:r w:rsidR="008D249A">
        <w:rPr>
          <w:b w:val="0"/>
          <w:bCs/>
          <w:noProof/>
        </w:rPr>
        <w:t>[15]</w:t>
      </w:r>
      <w:r w:rsidRPr="009A2357">
        <w:rPr>
          <w:b w:val="0"/>
          <w:bCs/>
        </w:rPr>
        <w:fldChar w:fldCharType="end"/>
      </w:r>
      <w:r w:rsidRPr="009A2357">
        <w:rPr>
          <w:b w:val="0"/>
          <w:bCs/>
        </w:rPr>
        <w:t xml:space="preserve">. However, the most studied effect of microsatellites is in the regulation of gene activity, where microsatellites can impact transcription </w:t>
      </w:r>
      <w:r w:rsidRPr="009A2357">
        <w:rPr>
          <w:b w:val="0"/>
          <w:bCs/>
        </w:rPr>
        <w:fldChar w:fldCharType="begin"/>
      </w:r>
      <w:r w:rsidR="008D249A">
        <w:rPr>
          <w:b w:val="0"/>
          <w:bCs/>
        </w:rPr>
        <w:instrText xml:space="preserve"> ADDIN EN.CITE &lt;EndNote&gt;&lt;Cite&gt;&lt;Author&gt;Hoffman&lt;/Author&gt;&lt;Year&gt;1990&lt;/Year&gt;&lt;RecNum&gt;163&lt;/RecNum&gt;&lt;DisplayText&gt;&lt;style size="10"&gt;[16]&lt;/style&gt;&lt;/DisplayText&gt;&lt;record&gt;&lt;rec-number&gt;163&lt;/rec-number&gt;&lt;foreign-keys&gt;&lt;key app="EN" db-id="psx5aavda22efleatx5vaweatapzwapastxd" timestamp="1582062982" guid="15044ab9-2058-436a-8c31-10f70c093bdd"&gt;163&lt;/key&gt;&lt;/foreign-keys&gt;&lt;ref-type name="Journal Article"&gt;17&lt;/ref-type&gt;&lt;contributors&gt;&lt;authors&gt;&lt;author&gt;Hoffman, E. K.&lt;/author&gt;&lt;author&gt;Trusko, S. P.&lt;/author&gt;&lt;author&gt;Murphy, M.&lt;/author&gt;&lt;author&gt;George, D. L.&lt;/author&gt;&lt;/authors&gt;&lt;/contributors&gt;&lt;titles&gt;&lt;title&gt;An S1 nuclease-sensitive homopurine/homopyrimidine domain in the c-Ki-ras promoter interacts with a nuclear factor&lt;/title&gt;&lt;secondary-title&gt;Proceedings of the National Academy of Sciences&lt;/secondary-title&gt;&lt;/titles&gt;&lt;periodical&gt;&lt;full-title&gt;Proceedings of the National Academy of Sciences&lt;/full-title&gt;&lt;/periodical&gt;&lt;pages&gt;2705&lt;/pages&gt;&lt;volume&gt;87&lt;/volume&gt;&lt;number&gt;7&lt;/number&gt;&lt;dates&gt;&lt;year&gt;1990&lt;/year&gt;&lt;/dates&gt;&lt;urls&gt;&lt;related-urls&gt;&lt;url&gt;http://www.pnas.org/content/87/7/2705.abstract&lt;/url&gt;&lt;/related-urls&gt;&lt;/urls&gt;&lt;/record&gt;&lt;/Cite&gt;&lt;/EndNote&gt;</w:instrText>
      </w:r>
      <w:r w:rsidRPr="009A2357">
        <w:rPr>
          <w:b w:val="0"/>
          <w:bCs/>
        </w:rPr>
        <w:fldChar w:fldCharType="separate"/>
      </w:r>
      <w:r w:rsidR="008D249A">
        <w:rPr>
          <w:b w:val="0"/>
          <w:bCs/>
          <w:noProof/>
        </w:rPr>
        <w:t>[16]</w:t>
      </w:r>
      <w:r w:rsidRPr="009A2357">
        <w:rPr>
          <w:b w:val="0"/>
          <w:bCs/>
        </w:rPr>
        <w:fldChar w:fldCharType="end"/>
      </w:r>
      <w:r w:rsidRPr="009A2357">
        <w:rPr>
          <w:b w:val="0"/>
          <w:bCs/>
        </w:rPr>
        <w:t xml:space="preserve">, gene expression </w:t>
      </w:r>
      <w:r w:rsidRPr="009A2357">
        <w:rPr>
          <w:b w:val="0"/>
          <w:bCs/>
        </w:rPr>
        <w:fldChar w:fldCharType="begin"/>
      </w:r>
      <w:r w:rsidR="008D249A">
        <w:rPr>
          <w:b w:val="0"/>
          <w:bCs/>
        </w:rPr>
        <w:instrText xml:space="preserve"> ADDIN EN.CITE &lt;EndNote&gt;&lt;Cite&gt;&lt;Author&gt;Chamberlain&lt;/Author&gt;&lt;Year&gt;1994&lt;/Year&gt;&lt;RecNum&gt;170&lt;/RecNum&gt;&lt;DisplayText&gt;&lt;style size="10"&gt;[17]&lt;/style&gt;&lt;/DisplayText&gt;&lt;record&gt;&lt;rec-number&gt;170&lt;/rec-number&gt;&lt;foreign-keys&gt;&lt;key app="EN" db-id="psx5aavda22efleatx5vaweatapzwapastxd" timestamp="1582062982" guid="52b84992-812b-4c94-94ae-59c47d7178fb"&gt;170&lt;/key&gt;&lt;/foreign-keys&gt;&lt;ref-type name="Journal Article"&gt;17&lt;/ref-type&gt;&lt;contributors&gt;&lt;authors&gt;&lt;author&gt;Chamberlain, Nancy L&lt;/author&gt;&lt;author&gt;Driver, Erika D&lt;/author&gt;&lt;author&gt;Miesfeld, Roger L&lt;/author&gt;&lt;/authors&gt;&lt;/contributors&gt;&lt;titles&gt;&lt;title&gt;The length and location of CAG trinucleotide repeats in the androgen receptor N-terminal domain affect transactivation function&lt;/title&gt;&lt;secondary-title&gt;Nucleic Acids Research&lt;/secondary-title&gt;&lt;/titles&gt;&lt;periodical&gt;&lt;full-title&gt;Nucleic Acids Research&lt;/full-title&gt;&lt;/periodical&gt;&lt;pages&gt;3181-3186&lt;/pages&gt;&lt;volume&gt;22&lt;/volume&gt;&lt;number&gt;15&lt;/number&gt;&lt;dates&gt;&lt;year&gt;1994&lt;/year&gt;&lt;/dates&gt;&lt;isbn&gt;1362-4962&lt;/isbn&gt;&lt;urls&gt;&lt;/urls&gt;&lt;/record&gt;&lt;/Cite&gt;&lt;/EndNote&gt;</w:instrText>
      </w:r>
      <w:r w:rsidRPr="009A2357">
        <w:rPr>
          <w:b w:val="0"/>
          <w:bCs/>
        </w:rPr>
        <w:fldChar w:fldCharType="separate"/>
      </w:r>
      <w:r w:rsidR="008D249A">
        <w:rPr>
          <w:b w:val="0"/>
          <w:bCs/>
          <w:noProof/>
        </w:rPr>
        <w:t>[17]</w:t>
      </w:r>
      <w:r w:rsidRPr="009A2357">
        <w:rPr>
          <w:b w:val="0"/>
          <w:bCs/>
        </w:rPr>
        <w:fldChar w:fldCharType="end"/>
      </w:r>
      <w:r w:rsidRPr="009A2357">
        <w:rPr>
          <w:b w:val="0"/>
          <w:bCs/>
        </w:rPr>
        <w:t xml:space="preserve">, protein binding </w:t>
      </w:r>
      <w:r w:rsidRPr="009A2357">
        <w:rPr>
          <w:b w:val="0"/>
          <w:bCs/>
        </w:rPr>
        <w:fldChar w:fldCharType="begin"/>
      </w:r>
      <w:r w:rsidR="008D249A">
        <w:rPr>
          <w:b w:val="0"/>
          <w:bCs/>
        </w:rPr>
        <w:instrText xml:space="preserve"> ADDIN EN.CITE &lt;EndNote&gt;&lt;Cite&gt;&lt;Author&gt;Lue&lt;/Author&gt;&lt;Year&gt;1989&lt;/Year&gt;&lt;RecNum&gt;167&lt;/RecNum&gt;&lt;DisplayText&gt;&lt;style size="10"&gt;[18]&lt;/style&gt;&lt;/DisplayText&gt;&lt;record&gt;&lt;rec-number&gt;167&lt;/rec-number&gt;&lt;foreign-keys&gt;&lt;key app="EN" db-id="psx5aavda22efleatx5vaweatapzwapastxd" timestamp="1582062982" guid="10010715-9f49-401c-ae12-6dbb394107ae"&gt;167&lt;/key&gt;&lt;/foreign-keys&gt;&lt;ref-type name="Journal Article"&gt;17&lt;/ref-type&gt;&lt;contributors&gt;&lt;authors&gt;&lt;author&gt;Lue, N. F.&lt;/author&gt;&lt;author&gt;Buchman, A. R.&lt;/author&gt;&lt;author&gt;Kornberg, R. D.&lt;/author&gt;&lt;/authors&gt;&lt;/contributors&gt;&lt;titles&gt;&lt;title&gt;Activation of yeast RNA polymerase II transcription by a thymidine-rich upstream element in vitro&lt;/title&gt;&lt;secondary-title&gt;Proceedings of the National Academy of Sciences&lt;/secondary-title&gt;&lt;/titles&gt;&lt;periodical&gt;&lt;full-title&gt;Proceedings of the National Academy of Sciences&lt;/full-title&gt;&lt;/periodical&gt;&lt;pages&gt;486&lt;/pages&gt;&lt;volume&gt;86&lt;/volume&gt;&lt;number&gt;2&lt;/number&gt;&lt;dates&gt;&lt;year&gt;1989&lt;/year&gt;&lt;/dates&gt;&lt;urls&gt;&lt;related-urls&gt;&lt;url&gt;http://www.pnas.org/content/86/2/486.abstract&lt;/url&gt;&lt;/related-urls&gt;&lt;/urls&gt;&lt;electronic-resource-num&gt;10.1073/pnas.86.2.486&lt;/electronic-resource-num&gt;&lt;/record&gt;&lt;/Cite&gt;&lt;/EndNote&gt;</w:instrText>
      </w:r>
      <w:r w:rsidRPr="009A2357">
        <w:rPr>
          <w:b w:val="0"/>
          <w:bCs/>
        </w:rPr>
        <w:fldChar w:fldCharType="separate"/>
      </w:r>
      <w:r w:rsidR="008D249A">
        <w:rPr>
          <w:b w:val="0"/>
          <w:bCs/>
          <w:noProof/>
        </w:rPr>
        <w:t>[18]</w:t>
      </w:r>
      <w:r w:rsidRPr="009A2357">
        <w:rPr>
          <w:b w:val="0"/>
          <w:bCs/>
        </w:rPr>
        <w:fldChar w:fldCharType="end"/>
      </w:r>
      <w:r w:rsidRPr="009A2357">
        <w:rPr>
          <w:b w:val="0"/>
          <w:bCs/>
        </w:rPr>
        <w:t xml:space="preserve">, </w:t>
      </w:r>
      <w:ins w:id="11" w:author="Microsoft Office User" w:date="2020-07-23T23:02:00Z">
        <w:r w:rsidR="00821415">
          <w:rPr>
            <w:b w:val="0"/>
            <w:bCs/>
          </w:rPr>
          <w:t xml:space="preserve">and </w:t>
        </w:r>
      </w:ins>
      <w:r w:rsidRPr="009A2357">
        <w:rPr>
          <w:b w:val="0"/>
          <w:bCs/>
        </w:rPr>
        <w:t xml:space="preserve">translation </w:t>
      </w:r>
      <w:r w:rsidRPr="009A2357">
        <w:rPr>
          <w:b w:val="0"/>
          <w:bCs/>
        </w:rPr>
        <w:fldChar w:fldCharType="begin"/>
      </w:r>
      <w:r w:rsidR="008D249A">
        <w:rPr>
          <w:b w:val="0"/>
          <w:bCs/>
        </w:rPr>
        <w:instrText xml:space="preserve"> ADDIN EN.CITE &lt;EndNote&gt;&lt;Cite&gt;&lt;Author&gt;Sandberg&lt;/Author&gt;&lt;Year&gt;1997&lt;/Year&gt;&lt;RecNum&gt;183&lt;/RecNum&gt;&lt;DisplayText&gt;&lt;style size="10"&gt;[19]&lt;/style&gt;&lt;/DisplayText&gt;&lt;record&gt;&lt;rec-number&gt;183&lt;/rec-number&gt;&lt;foreign-keys&gt;&lt;key app="EN" db-id="psx5aavda22efleatx5vaweatapzwapastxd" timestamp="1582062983" guid="8a09e80a-69a1-47b8-a788-ab745bac6214"&gt;183&lt;/key&gt;&lt;/foreign-keys&gt;&lt;ref-type name="Journal Article"&gt;17&lt;/ref-type&gt;&lt;contributors&gt;&lt;authors&gt;&lt;author&gt;Sandberg, G.&lt;/author&gt;&lt;author&gt;Schalling, M.&lt;/author&gt;&lt;/authors&gt;&lt;/contributors&gt;&lt;titles&gt;&lt;title&gt;Effect of in vitro promoter methylation and CGG repeat expansion on FMR-1 expression&lt;/title&gt;&lt;secondary-title&gt;Nucleic Acids Research&lt;/secondary-title&gt;&lt;/titles&gt;&lt;periodical&gt;&lt;full-title&gt;Nucleic Acids Research&lt;/full-title&gt;&lt;/periodical&gt;&lt;pages&gt;2883-2887&lt;/pages&gt;&lt;volume&gt;25&lt;/volume&gt;&lt;number&gt;14&lt;/number&gt;&lt;dates&gt;&lt;year&gt;1997&lt;/year&gt;&lt;/dates&gt;&lt;isbn&gt;0305-1048&lt;/isbn&gt;&lt;urls&gt;&lt;related-urls&gt;&lt;url&gt;https://doi.org/10.1093/nar/25.14.2883&lt;/url&gt;&lt;/related-urls&gt;&lt;/urls&gt;&lt;electronic-resource-num&gt;10.1093/nar/25.14.2883&lt;/electronic-resource-num&gt;&lt;access-date&gt;5/15/2019&lt;/access-date&gt;&lt;/record&gt;&lt;/Cite&gt;&lt;/EndNote&gt;</w:instrText>
      </w:r>
      <w:r w:rsidRPr="009A2357">
        <w:rPr>
          <w:b w:val="0"/>
          <w:bCs/>
        </w:rPr>
        <w:fldChar w:fldCharType="separate"/>
      </w:r>
      <w:r w:rsidR="008D249A">
        <w:rPr>
          <w:b w:val="0"/>
          <w:bCs/>
          <w:noProof/>
        </w:rPr>
        <w:t>[19]</w:t>
      </w:r>
      <w:r w:rsidRPr="009A2357">
        <w:rPr>
          <w:b w:val="0"/>
          <w:bCs/>
        </w:rPr>
        <w:fldChar w:fldCharType="end"/>
      </w:r>
      <w:r w:rsidRPr="009A2357">
        <w:rPr>
          <w:b w:val="0"/>
          <w:bCs/>
        </w:rPr>
        <w:t xml:space="preserve"> </w:t>
      </w:r>
      <w:del w:id="12" w:author="Microsoft Office User" w:date="2020-07-23T23:02:00Z">
        <w:r w:rsidRPr="009A2357" w:rsidDel="00821415">
          <w:rPr>
            <w:b w:val="0"/>
            <w:bCs/>
          </w:rPr>
          <w:delText xml:space="preserve">and </w:delText>
        </w:r>
      </w:del>
      <w:ins w:id="13" w:author="Microsoft Office User" w:date="2020-07-23T23:02:00Z">
        <w:r w:rsidR="00821415">
          <w:rPr>
            <w:b w:val="0"/>
            <w:bCs/>
          </w:rPr>
          <w:t xml:space="preserve">thus leading to </w:t>
        </w:r>
      </w:ins>
      <w:r w:rsidRPr="009A2357">
        <w:rPr>
          <w:b w:val="0"/>
          <w:bCs/>
        </w:rPr>
        <w:t xml:space="preserve">diseases </w:t>
      </w:r>
      <w:r w:rsidRPr="009A2357">
        <w:rPr>
          <w:b w:val="0"/>
          <w:bCs/>
        </w:rPr>
        <w:fldChar w:fldCharType="begin"/>
      </w:r>
      <w:r w:rsidR="008D249A">
        <w:rPr>
          <w:b w:val="0"/>
          <w:bCs/>
        </w:rPr>
        <w:instrText xml:space="preserve"> ADDIN EN.CITE &lt;EndNote&gt;&lt;Cite&gt;&lt;Author&gt;Rubinsztein&lt;/Author&gt;&lt;Year&gt;1995&lt;/Year&gt;&lt;RecNum&gt;180&lt;/RecNum&gt;&lt;DisplayText&gt;&lt;style size="10"&gt;[20]&lt;/style&gt;&lt;/DisplayText&gt;&lt;record&gt;&lt;rec-number&gt;180&lt;/rec-number&gt;&lt;foreign-keys&gt;&lt;key app="EN" db-id="psx5aavda22efleatx5vaweatapzwapastxd" timestamp="1582062983" guid="cb2b1d80-04c6-484d-b4b7-1cba346b1a3b"&gt;180&lt;/key&gt;&lt;/foreign-keys&gt;&lt;ref-type name="Journal Article"&gt;17&lt;/ref-type&gt;&lt;contributors&gt;&lt;authors&gt;&lt;author&gt;Rubinsztein, David C.&lt;/author&gt;&lt;author&gt;Leggo, Jayne&lt;/author&gt;&lt;author&gt;Coetzee, Gerhard A.&lt;/author&gt;&lt;author&gt;Irvine, Ryan A.&lt;/author&gt;&lt;author&gt;Buckley, Michael&lt;/author&gt;&lt;author&gt;Ferguson-Smith, Malcolm A.&lt;/author&gt;&lt;/authors&gt;&lt;/contributors&gt;&lt;titles&gt;&lt;title&gt;Sequence variation and size ranges of CAG repeats in the Machado-Joseph disease, spinocerebellar ataxia type 1 and androgen receptor genes&lt;/title&gt;&lt;secondary-title&gt;Human Molecular Genetics&lt;/secondary-title&gt;&lt;/titles&gt;&lt;periodical&gt;&lt;full-title&gt;Human Molecular Genetics&lt;/full-title&gt;&lt;/periodical&gt;&lt;pages&gt;1585-1590&lt;/pages&gt;&lt;volume&gt;4&lt;/volume&gt;&lt;number&gt;9&lt;/number&gt;&lt;dates&gt;&lt;year&gt;1995&lt;/year&gt;&lt;/dates&gt;&lt;isbn&gt;0964-6906&lt;/isbn&gt;&lt;urls&gt;&lt;related-urls&gt;&lt;url&gt;https://doi.org/10.1093/hmg/4.9.1585&lt;/url&gt;&lt;/related-urls&gt;&lt;/urls&gt;&lt;electronic-resource-num&gt;10.1093/hmg/4.9.1585&lt;/electronic-resource-num&gt;&lt;access-date&gt;5/15/2019&lt;/access-date&gt;&lt;/record&gt;&lt;/Cite&gt;&lt;/EndNote&gt;</w:instrText>
      </w:r>
      <w:r w:rsidRPr="009A2357">
        <w:rPr>
          <w:b w:val="0"/>
          <w:bCs/>
        </w:rPr>
        <w:fldChar w:fldCharType="separate"/>
      </w:r>
      <w:r w:rsidR="008D249A">
        <w:rPr>
          <w:b w:val="0"/>
          <w:bCs/>
          <w:noProof/>
        </w:rPr>
        <w:t>[20]</w:t>
      </w:r>
      <w:r w:rsidRPr="009A2357">
        <w:rPr>
          <w:b w:val="0"/>
          <w:bCs/>
        </w:rPr>
        <w:fldChar w:fldCharType="end"/>
      </w:r>
      <w:r w:rsidRPr="009A2357">
        <w:rPr>
          <w:b w:val="0"/>
          <w:bCs/>
        </w:rPr>
        <w:t xml:space="preserve">. </w:t>
      </w:r>
    </w:p>
    <w:p w:rsidR="009A2357" w:rsidRDefault="009A2357" w:rsidP="00A1535E">
      <w:pPr>
        <w:pStyle w:val="MDPI21heading1"/>
        <w:spacing w:before="0" w:after="0"/>
        <w:rPr>
          <w:b w:val="0"/>
          <w:bCs/>
        </w:rPr>
      </w:pPr>
      <w:r w:rsidRPr="009A2357">
        <w:rPr>
          <w:b w:val="0"/>
          <w:bCs/>
        </w:rPr>
        <w:lastRenderedPageBreak/>
        <w:t xml:space="preserve">The primary mechanism for expansion and contraction of microsatellites is slippage </w:t>
      </w:r>
      <w:del w:id="14" w:author="Microsoft Office User" w:date="2020-07-29T09:26:00Z">
        <w:r w:rsidRPr="009A2357" w:rsidDel="00514348">
          <w:rPr>
            <w:b w:val="0"/>
            <w:bCs/>
          </w:rPr>
          <w:delText xml:space="preserve">repair errors </w:delText>
        </w:r>
      </w:del>
      <w:r w:rsidRPr="009A2357">
        <w:rPr>
          <w:b w:val="0"/>
          <w:bCs/>
        </w:rPr>
        <w:t>that occur</w:t>
      </w:r>
      <w:ins w:id="15" w:author="Microsoft Office User" w:date="2020-07-29T09:26:00Z">
        <w:r w:rsidR="00514348">
          <w:rPr>
            <w:b w:val="0"/>
            <w:bCs/>
          </w:rPr>
          <w:t>s</w:t>
        </w:r>
      </w:ins>
      <w:r w:rsidRPr="009A2357">
        <w:rPr>
          <w:b w:val="0"/>
          <w:bCs/>
        </w:rPr>
        <w:t xml:space="preserve"> during DNA replication </w:t>
      </w:r>
      <w:r w:rsidRPr="009A2357">
        <w:rPr>
          <w:b w:val="0"/>
          <w:bCs/>
        </w:rPr>
        <w:fldChar w:fldCharType="begin"/>
      </w:r>
      <w:r w:rsidR="008D249A">
        <w:rPr>
          <w:b w:val="0"/>
          <w:bCs/>
        </w:rPr>
        <w:instrText xml:space="preserve"> ADDIN EN.CITE &lt;EndNote&gt;&lt;Cite&gt;&lt;Author&gt;Eisen&lt;/Author&gt;&lt;Year&gt;1999&lt;/Year&gt;&lt;RecNum&gt;174&lt;/RecNum&gt;&lt;DisplayText&gt;&lt;style size="10"&gt;[21,22]&lt;/style&gt;&lt;/DisplayText&gt;&lt;record&gt;&lt;rec-number&gt;174&lt;/rec-number&gt;&lt;foreign-keys&gt;&lt;key app="EN" db-id="52tz9xfelafrx4eexf3v9xe1s0e05zff5sae" timestamp="1557936817"&gt;174&lt;/key&gt;&lt;/foreign-keys&gt;&lt;ref-type name="Journal Article"&gt;17&lt;/ref-type&gt;&lt;contributors&gt;&lt;authors&gt;&lt;author&gt;Eisen, J. A.&lt;/author&gt;&lt;/authors&gt;&lt;/contributors&gt;&lt;titles&gt;&lt;title&gt;Mechanistic basis for microsatellite instability&lt;/title&gt;&lt;secondary-title&gt;Microsatellites : evolution and applications&lt;/secondary-title&gt;&lt;/titles&gt;&lt;periodical&gt;&lt;full-title&gt;Microsatellites : Evolution and Applications&lt;/full-title&gt;&lt;/periodical&gt;&lt;pages&gt;34-48&lt;/pages&gt;&lt;dates&gt;&lt;year&gt;1999&lt;/year&gt;&lt;pub-dates&gt;&lt;date&gt;1999&lt;/date&gt;&lt;/pub-dates&gt;&lt;/dates&gt;&lt;publisher&gt;Oxford University Press&lt;/publisher&gt;&lt;urls&gt;&lt;related-urls&gt;&lt;url&gt;https://ci.nii.ac.jp/naid/10030833913/en/&lt;/url&gt;&lt;/related-urls&gt;&lt;/urls&gt;&lt;/record&gt;&lt;/Cite&gt;&lt;Cite&gt;&lt;Author&gt;Klintschar&lt;/Author&gt;&lt;Year&gt;2004&lt;/Year&gt;&lt;RecNum&gt;303&lt;/RecNum&gt;&lt;record&gt;&lt;rec-number&gt;303&lt;/rec-number&gt;&lt;foreign-keys&gt;&lt;key app="EN" db-id="psx5aavda22efleatx5vaweatapzwapastxd" timestamp="1582699328" guid="19f781ad-c1ba-4219-9ec4-7011efd05ce1"&gt;303&lt;/key&gt;&lt;/foreign-keys&gt;&lt;ref-type name="Journal Article"&gt;17&lt;/ref-type&gt;&lt;contributors&gt;&lt;authors&gt;&lt;author&gt;Klintschar, Michael&lt;/author&gt;&lt;author&gt;Dauber, Eva‐Maria&lt;/author&gt;&lt;author&gt;Ricci, Ugo&lt;/author&gt;&lt;author&gt;Cerri, Nicoletta&lt;/author&gt;&lt;author&gt;Immel, Uta‐Dorothee&lt;/author&gt;&lt;author&gt;Kleiber, Manfred&lt;/author&gt;&lt;author&gt;Mayr, Wolfgang R&lt;/author&gt;&lt;/authors&gt;&lt;/contributors&gt;&lt;titles&gt;&lt;title&gt;Haplotype studies support slippage as the mechanism of germline mutations in short tandem repeats&lt;/title&gt;&lt;secondary-title&gt;Electrophoresis&lt;/secondary-title&gt;&lt;/titles&gt;&lt;periodical&gt;&lt;full-title&gt;Electrophoresis&lt;/full-title&gt;&lt;/periodical&gt;&lt;pages&gt;3344-3348&lt;/pages&gt;&lt;volume&gt;25&lt;/volume&gt;&lt;number&gt;20&lt;/number&gt;&lt;dates&gt;&lt;year&gt;2004&lt;/year&gt;&lt;/dates&gt;&lt;isbn&gt;0173-0835&lt;/isbn&gt;&lt;urls&gt;&lt;/urls&gt;&lt;/record&gt;&lt;/Cite&gt;&lt;/EndNote&gt;</w:instrText>
      </w:r>
      <w:r w:rsidRPr="009A2357">
        <w:rPr>
          <w:b w:val="0"/>
          <w:bCs/>
        </w:rPr>
        <w:fldChar w:fldCharType="separate"/>
      </w:r>
      <w:r w:rsidR="008D249A">
        <w:rPr>
          <w:b w:val="0"/>
          <w:bCs/>
          <w:noProof/>
        </w:rPr>
        <w:t>[21,22]</w:t>
      </w:r>
      <w:r w:rsidRPr="009A2357">
        <w:rPr>
          <w:b w:val="0"/>
          <w:bCs/>
        </w:rPr>
        <w:fldChar w:fldCharType="end"/>
      </w:r>
      <w:r w:rsidRPr="009A2357">
        <w:rPr>
          <w:b w:val="0"/>
          <w:bCs/>
        </w:rPr>
        <w:t xml:space="preserve">. However, differential abundance of repeats in exonic, intronic, and intergenic regions among taxa may suggest that strand slippage alone is insufficient to explain microsatellite distribution </w:t>
      </w:r>
      <w:r w:rsidRPr="009A2357">
        <w:rPr>
          <w:b w:val="0"/>
          <w:bCs/>
        </w:rPr>
        <w:fldChar w:fldCharType="begin"/>
      </w:r>
      <w:r w:rsidR="008D249A">
        <w:rPr>
          <w:b w:val="0"/>
          <w:bCs/>
        </w:rPr>
        <w:instrText xml:space="preserve"> ADDIN EN.CITE &lt;EndNote&gt;&lt;Cite&gt;&lt;Author&gt;Tóth&lt;/Author&gt;&lt;Year&gt;2000&lt;/Year&gt;&lt;RecNum&gt;320&lt;/RecNum&gt;&lt;DisplayText&gt;&lt;style size="10"&gt;[23]&lt;/style&gt;&lt;/DisplayText&gt;&lt;record&gt;&lt;rec-number&gt;320&lt;/rec-number&gt;&lt;foreign-keys&gt;&lt;key app="EN" db-id="psx5aavda22efleatx5vaweatapzwapastxd" timestamp="1584590734" guid="3f076cc4-95ba-4537-bba0-d955e8552ee7"&gt;320&lt;/key&gt;&lt;/foreign-keys&gt;&lt;ref-type name="Journal Article"&gt;17&lt;/ref-type&gt;&lt;contributors&gt;&lt;authors&gt;&lt;author&gt;Tóth, Gábor&lt;/author&gt;&lt;author&gt;Gáspári, Zoltán&lt;/author&gt;&lt;author&gt;Jurka, Jerzy&lt;/author&gt;&lt;/authors&gt;&lt;/contributors&gt;&lt;titles&gt;&lt;title&gt;Microsatellites in different eukaryotic genomes: survey and analysis&lt;/title&gt;&lt;secondary-title&gt;Genome research&lt;/secondary-title&gt;&lt;/titles&gt;&lt;periodical&gt;&lt;full-title&gt;Genome Research&lt;/full-title&gt;&lt;/periodical&gt;&lt;pages&gt;967-981&lt;/pages&gt;&lt;volume&gt;10&lt;/volume&gt;&lt;number&gt;7&lt;/number&gt;&lt;dates&gt;&lt;year&gt;2000&lt;/year&gt;&lt;/dates&gt;&lt;isbn&gt;1088-9051&lt;/isbn&gt;&lt;urls&gt;&lt;/urls&gt;&lt;/record&gt;&lt;/Cite&gt;&lt;/EndNote&gt;</w:instrText>
      </w:r>
      <w:r w:rsidRPr="009A2357">
        <w:rPr>
          <w:b w:val="0"/>
          <w:bCs/>
        </w:rPr>
        <w:fldChar w:fldCharType="separate"/>
      </w:r>
      <w:r w:rsidR="008D249A">
        <w:rPr>
          <w:b w:val="0"/>
          <w:bCs/>
          <w:noProof/>
        </w:rPr>
        <w:t>[23]</w:t>
      </w:r>
      <w:r w:rsidRPr="009A2357">
        <w:rPr>
          <w:b w:val="0"/>
          <w:bCs/>
        </w:rPr>
        <w:fldChar w:fldCharType="end"/>
      </w:r>
      <w:r w:rsidRPr="009A2357">
        <w:rPr>
          <w:b w:val="0"/>
          <w:bCs/>
        </w:rPr>
        <w:t xml:space="preserve">. While strand slippage can account for the expansion and contraction of microsatellite content, it cannot account for large shifts in the relative abundance of types of microsatellites in closely related species (e.g., a shift from AC repeats to TA repeats being the most common). </w:t>
      </w:r>
    </w:p>
    <w:p w:rsidR="009A2357" w:rsidRPr="009A2357" w:rsidRDefault="009A2357" w:rsidP="00A1535E">
      <w:pPr>
        <w:pStyle w:val="MDPI21heading1"/>
        <w:spacing w:before="0" w:after="0"/>
        <w:ind w:firstLine="420"/>
        <w:rPr>
          <w:b w:val="0"/>
          <w:bCs/>
        </w:rPr>
      </w:pPr>
      <w:r w:rsidRPr="009A2357">
        <w:rPr>
          <w:b w:val="0"/>
          <w:bCs/>
        </w:rPr>
        <w:t xml:space="preserve">While previous studies have focused largely on specific classes of microsatellites in one or a handful of species, few studies have examined the dynamics of all microsatellite content across large clades </w:t>
      </w:r>
      <w:r w:rsidRPr="009A2357">
        <w:rPr>
          <w:b w:val="0"/>
          <w:bCs/>
        </w:rPr>
        <w:fldChar w:fldCharType="begin">
          <w:fldData xml:space="preserve">PEVuZE5vdGU+PENpdGU+PEF1dGhvcj5CZWxsPC9BdXRob3I+PFllYXI+MTk5NDwvWWVhcj48UmVj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</w:fldData>
        </w:fldChar>
      </w:r>
      <w:r w:rsidR="008D249A">
        <w:rPr>
          <w:b w:val="0"/>
          <w:bCs/>
        </w:rPr>
        <w:instrText xml:space="preserve"> ADDIN EN.CITE </w:instrText>
      </w:r>
      <w:r w:rsidR="008D249A">
        <w:rPr>
          <w:b w:val="0"/>
          <w:bCs/>
        </w:rPr>
        <w:fldChar w:fldCharType="begin">
          <w:fldData xml:space="preserve">PEVuZE5vdGU+PENpdGU+PEF1dGhvcj5CZWxsPC9BdXRob3I+PFllYXI+MTk5NDwvWWVhcj48UmVj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</w:fldData>
        </w:fldChar>
      </w:r>
      <w:r w:rsidR="008D249A">
        <w:rPr>
          <w:b w:val="0"/>
          <w:bCs/>
        </w:rPr>
        <w:instrText xml:space="preserve"> ADDIN EN.CITE.DATA </w:instrText>
      </w:r>
      <w:r w:rsidR="008D249A">
        <w:rPr>
          <w:b w:val="0"/>
          <w:bCs/>
        </w:rPr>
      </w:r>
      <w:r w:rsidR="008D249A">
        <w:rPr>
          <w:b w:val="0"/>
          <w:bCs/>
        </w:rPr>
        <w:fldChar w:fldCharType="end"/>
      </w:r>
      <w:r w:rsidRPr="009A2357">
        <w:rPr>
          <w:b w:val="0"/>
          <w:bCs/>
        </w:rPr>
        <w:fldChar w:fldCharType="separate"/>
      </w:r>
      <w:r w:rsidR="008D249A">
        <w:rPr>
          <w:b w:val="0"/>
          <w:bCs/>
          <w:noProof/>
        </w:rPr>
        <w:t>[24,25,but see 26]</w:t>
      </w:r>
      <w:r w:rsidRPr="009A2357">
        <w:rPr>
          <w:b w:val="0"/>
          <w:bCs/>
        </w:rPr>
        <w:fldChar w:fldCharType="end"/>
      </w:r>
      <w:r w:rsidRPr="009A2357">
        <w:rPr>
          <w:b w:val="0"/>
          <w:bCs/>
        </w:rPr>
        <w:t>. Adams et al. showed that ray-finned fish, squamate reptiles, and mammalian genomes had higher microsatellite content, than crocodilian, turtle, and avian genomes. Additionally, some lineages had unusually high rates of change in microsatellite content providing support for multiple major shifts in the microsatellite genomic landscape. The goal of our study was to determine whether microsatellites evolve differently in different clades of insects and evaluate the impact of chromosome number, genome size, and centromere type (i.e. holocentric and monocentric) on both the content and rate of microsatellite evolution. Our analyses reveal that chromosome number has no impact on either content or rate of microsatellite evolution, and that centromere type has no impact on total microsatellite content. However, our study shows that different insect orders have significantly different rates and that the rate of microsatellite evolution is different among species with monocentric and holocentric chromosomes. Additionally, we find that genome size correlates with total content and rate of microsatellite evolution.</w:t>
      </w:r>
    </w:p>
    <w:p w:rsidR="006E06CC" w:rsidRPr="006A33C1" w:rsidRDefault="006E06CC" w:rsidP="006E06CC">
      <w:pPr>
        <w:pStyle w:val="MDPI21heading1"/>
      </w:pPr>
      <w:r w:rsidRPr="006A33C1">
        <w:rPr>
          <w:lang w:eastAsia="zh-CN"/>
        </w:rPr>
        <w:t xml:space="preserve">2. </w:t>
      </w:r>
      <w:r w:rsidRPr="006A33C1">
        <w:t xml:space="preserve">Materials and Methods </w:t>
      </w:r>
    </w:p>
    <w:p w:rsidR="009A2357" w:rsidRPr="009A2357" w:rsidRDefault="009A2357" w:rsidP="009A2357">
      <w:pPr>
        <w:pStyle w:val="MDPI31text"/>
      </w:pPr>
      <w:r w:rsidRPr="009A2357">
        <w:rPr>
          <w:bCs/>
          <w:i/>
        </w:rPr>
        <w:t>Sequence Data:</w:t>
      </w:r>
      <w:r w:rsidRPr="009A2357">
        <w:rPr>
          <w:b/>
          <w:i/>
        </w:rPr>
        <w:t xml:space="preserve"> </w:t>
      </w:r>
      <w:r w:rsidRPr="009A2357">
        <w:t xml:space="preserve">We downloaded all available insect genome assemblies from NCBI, ENSMBL, and Baylor HGC (accession numbers and site addresses in Supplemental Table 1, accessed August 2018). A total of </w:t>
      </w:r>
      <w:del w:id="16" w:author="Microsoft Office User" w:date="2020-07-30T09:37:00Z">
        <w:r w:rsidRPr="009A2357" w:rsidDel="001F101E">
          <w:delText xml:space="preserve">303 </w:delText>
        </w:r>
      </w:del>
      <w:ins w:id="17" w:author="Microsoft Office User" w:date="2020-07-30T09:37:00Z">
        <w:r w:rsidR="001F101E" w:rsidRPr="009A2357">
          <w:t>30</w:t>
        </w:r>
      </w:ins>
      <w:ins w:id="18" w:author="Microsoft Office User" w:date="2020-07-30T09:41:00Z">
        <w:r w:rsidR="001F101E">
          <w:t>4</w:t>
        </w:r>
      </w:ins>
      <w:ins w:id="19" w:author="Microsoft Office User" w:date="2020-07-30T09:37:00Z">
        <w:r w:rsidR="001F101E" w:rsidRPr="009A2357">
          <w:t xml:space="preserve"> </w:t>
        </w:r>
      </w:ins>
      <w:r w:rsidRPr="009A2357">
        <w:t xml:space="preserve">genomes were available spanning 18 of the 24 insect orders. Six orders were represented by single species while Diptera and Hymenoptera were the most frequently sequenced orders with 116 and 71 species, respectively. In all cases, the most </w:t>
      </w:r>
      <w:ins w:id="20" w:author="Microsoft Office User" w:date="2020-07-23T00:09:00Z">
        <w:r w:rsidR="00821415">
          <w:t>recent</w:t>
        </w:r>
      </w:ins>
      <w:del w:id="21" w:author="Microsoft Office User" w:date="2020-07-23T00:08:00Z">
        <w:r w:rsidRPr="009A2357" w:rsidDel="00821415">
          <w:delText>complete</w:delText>
        </w:r>
      </w:del>
      <w:r w:rsidRPr="009A2357">
        <w:t xml:space="preserve"> assembly with no masking was downloaded (accession numbers in Supplemental Table 1). </w:t>
      </w:r>
    </w:p>
    <w:p w:rsidR="009A2357" w:rsidRPr="009A2357" w:rsidRDefault="009A2357" w:rsidP="009A2357">
      <w:pPr>
        <w:pStyle w:val="MDPI31text"/>
      </w:pPr>
      <w:r w:rsidRPr="009A2357">
        <w:rPr>
          <w:bCs/>
          <w:i/>
        </w:rPr>
        <w:t>Assembly quality:</w:t>
      </w:r>
      <w:r w:rsidRPr="009A2357">
        <w:rPr>
          <w:b/>
          <w:i/>
        </w:rPr>
        <w:t xml:space="preserve"> </w:t>
      </w:r>
      <w:r w:rsidRPr="009A2357">
        <w:t xml:space="preserve">Repetitive sequences are one of the central challenges in genome assembly, and because of this, it is possible that poorly assembled genomes or genomes assembled with shorter read technology will lead to inaccurate inference of microsatellite content. We took two approaches to assess and control for this possibility. First, we reanalyzed data from a survey of microsatellites across 71 vertebrates </w:t>
      </w:r>
      <w:r w:rsidRPr="009A2357">
        <w:fldChar w:fldCharType="begin"/>
      </w:r>
      <w:r w:rsidR="008D249A">
        <w:instrText xml:space="preserve"> ADDIN EN.CITE &lt;EndNote&gt;&lt;Cite&gt;&lt;Author&gt;Adams&lt;/Author&gt;&lt;Year&gt;2016&lt;/Year&gt;&lt;RecNum&gt;2511&lt;/RecNum&gt;&lt;DisplayText&gt;&lt;style size="10"&gt;[26]&lt;/style&gt;&lt;/DisplayText&gt;&lt;record&gt;&lt;rec-number&gt;2511&lt;/rec-number&gt;&lt;foreign-keys&gt;&lt;key app="EN" db-id="20tzrfeaqpde50e5e2dvtwp7sr5fsss0txe9" timestamp="1470772319"&gt;2511&lt;/key&gt;&lt;/foreign-keys&gt;&lt;ref-type name="Journal Article"&gt;17&lt;/ref-type&gt;&lt;contributors&gt;&lt;authors&gt;&lt;author&gt;Adams, R. H.&lt;/author&gt;&lt;author&gt;Blackmon, H.&lt;/author&gt;&lt;author&gt;Reyes-Velasco, J.&lt;/author&gt;&lt;author&gt;Schield, D. R.&lt;/author&gt;&lt;author&gt;Card, D. C.&lt;/author&gt;&lt;author&gt;Andrew, A. &lt;/author&gt;&lt;author&gt;Castoe, T. A.&lt;/author&gt;&lt;/authors&gt;&lt;/contributors&gt;&lt;titles&gt;&lt;title&gt;Microsatellite landscape evolutionary dynamics across 450 million years of vertebrate genome evolution.&lt;/title&gt;&lt;secondary-title&gt;Genome&lt;/secondary-title&gt;&lt;/titles&gt;&lt;periodical&gt;&lt;full-title&gt;Genome&lt;/full-title&gt;&lt;/periodical&gt;&lt;pages&gt;295-310&lt;/pages&gt;&lt;volume&gt;59&lt;/volume&gt;&lt;number&gt;5&lt;/number&gt;&lt;dates&gt;&lt;year&gt;2016&lt;/year&gt;&lt;/dates&gt;&lt;urls&gt;&lt;/urls&gt;&lt;/record&gt;&lt;/Cite&gt;&lt;/EndNote&gt;</w:instrText>
      </w:r>
      <w:r w:rsidRPr="009A2357">
        <w:fldChar w:fldCharType="separate"/>
      </w:r>
      <w:r w:rsidR="008D249A">
        <w:rPr>
          <w:noProof/>
        </w:rPr>
        <w:t>[26]</w:t>
      </w:r>
      <w:r w:rsidRPr="009A2357">
        <w:fldChar w:fldCharType="end"/>
      </w:r>
      <w:r w:rsidRPr="009A2357">
        <w:t xml:space="preserve">. In this analysis we categorized each genome assembly by the sequencing platform (short, Sanger, and long) and tested whether genomes in these three classes had significantly different microsatellite content. </w:t>
      </w:r>
      <w:ins w:id="22" w:author="Microsoft Office User" w:date="2020-07-23T00:14:00Z">
        <w:r w:rsidR="00821415">
          <w:t xml:space="preserve">If mixed data was available for a genome assembly (e.g. long read sequencing with short read polishing) this was classified as long read </w:t>
        </w:r>
      </w:ins>
      <w:ins w:id="23" w:author="Microsoft Office User" w:date="2020-07-23T00:18:00Z">
        <w:r w:rsidR="00821415">
          <w:t xml:space="preserve">for our categories. </w:t>
        </w:r>
      </w:ins>
      <w:r w:rsidRPr="009A2357">
        <w:t xml:space="preserve">Second, we also evaluated the correlation between scaffold and contig N50 and total microsatellite content. Based on results from this analysis (described below) we chose to include all insect genomes regardless of sequencing platform or N50 statistics. </w:t>
      </w:r>
    </w:p>
    <w:p w:rsidR="009A2357" w:rsidRPr="009A2357" w:rsidRDefault="009A2357" w:rsidP="009A2357">
      <w:pPr>
        <w:pStyle w:val="MDPI31text"/>
        <w:rPr>
          <w:b/>
          <w:i/>
        </w:rPr>
      </w:pPr>
      <w:r w:rsidRPr="009A2357">
        <w:t xml:space="preserve">Preliminary inspection of our insect genomes suggested that some were highly incomplete (e.g., assembly size 2% of expected genome size). Because of this, we performed a second quality assessment comparing BUSCO scores and total microsatellite content in all insect genomes </w:t>
      </w:r>
      <w:r w:rsidRPr="009A2357">
        <w:fldChar w:fldCharType="begin"/>
      </w:r>
      <w:r w:rsidR="008D249A">
        <w:instrText xml:space="preserve"> ADDIN EN.CITE &lt;EndNote&gt;&lt;Cite&gt;&lt;Author&gt;Simão&lt;/Author&gt;&lt;Year&gt;2015&lt;/Year&gt;&lt;RecNum&gt;2708&lt;/RecNum&gt;&lt;DisplayText&gt;&lt;style size="10"&gt;[27]&lt;/style&gt;&lt;/DisplayText&gt;&lt;record&gt;&lt;rec-number&gt;2708&lt;/rec-number&gt;&lt;foreign-keys&gt;&lt;key app="EN" db-id="20tzrfeaqpde50e5e2dvtwp7sr5fsss0txe9" timestamp="1548600863"&gt;2708&lt;/key&gt;&lt;/foreign-keys&gt;&lt;ref-type name="Journal Article"&gt;17&lt;/ref-type&gt;&lt;contributors&gt;&lt;authors&gt;&lt;author&gt;Simão, Felipe A&lt;/author&gt;&lt;author&gt;Waterhouse, Robert M&lt;/author&gt;&lt;author&gt;Ioannidis, Panagiotis&lt;/author&gt;&lt;author&gt;Kriventseva, Evgenia V&lt;/author&gt;&lt;author&gt;Zdobnov, Evgeny M&lt;/author&gt;&lt;/authors&gt;&lt;/contributors&gt;&lt;titles&gt;&lt;title&gt;BUSCO: assessing genome assembly and annotation completeness with single-copy orthologs&lt;/title&gt;&lt;secondary-title&gt;Bioinformatics&lt;/secondary-title&gt;&lt;/titles&gt;&lt;periodical&gt;&lt;full-title&gt;Bioinformatics&lt;/full-title&gt;&lt;/periodical&gt;&lt;pages&gt;3210-3212&lt;/pages&gt;&lt;volume&gt;31&lt;/volume&gt;&lt;number&gt;19&lt;/number&gt;&lt;dates&gt;&lt;year&gt;2015&lt;/year&gt;&lt;/dates&gt;&lt;isbn&gt;1367-4803&lt;/isbn&gt;&lt;urls&gt;&lt;/urls&gt;&lt;/record&gt;&lt;/Cite&gt;&lt;/EndNote&gt;</w:instrText>
      </w:r>
      <w:r w:rsidRPr="009A2357">
        <w:fldChar w:fldCharType="separate"/>
      </w:r>
      <w:r w:rsidR="008D249A">
        <w:rPr>
          <w:noProof/>
        </w:rPr>
        <w:t>[27]</w:t>
      </w:r>
      <w:r w:rsidRPr="009A2357">
        <w:fldChar w:fldCharType="end"/>
      </w:r>
      <w:r w:rsidRPr="009A2357">
        <w:t>. We used default settings for BUSCO in conjunction with the insect gene set. Scores were calculated as the proportion of genes searched that were found as complete genes (in either single or duplicate copies). These scores were then compared to the total microsatellite content in each genome to determine if there was a cutoff below which microsatellites were poorly inferred. Based on this approach we reduced the number of genomes examined to 231.</w:t>
      </w:r>
    </w:p>
    <w:p w:rsidR="009A2357" w:rsidRPr="009A2357" w:rsidRDefault="009A2357" w:rsidP="009A2357">
      <w:pPr>
        <w:pStyle w:val="MDPI31text"/>
      </w:pPr>
      <w:r w:rsidRPr="009A2357">
        <w:rPr>
          <w:bCs/>
          <w:i/>
        </w:rPr>
        <w:t>Phylogenetic data:</w:t>
      </w:r>
      <w:r w:rsidRPr="009A2357">
        <w:t xml:space="preserve"> For downstream comparative analyses, we downloaded sequences for the four most frequently sequenced mitochondrial genes (12S, COI, COII, and cytochrome b) and four nuclear genes (18S, 28S, elongation factor 1, and arginine kinase). This yielded a dataset of 221 operational taxonomic units (OTUs) representing members of 12 of the 24 insect orders. All sequences were </w:t>
      </w:r>
      <w:r w:rsidRPr="009A2357">
        <w:lastRenderedPageBreak/>
        <w:t xml:space="preserve">downloaded from GenBank (accession numbers in Supplemental Table 2). The sequences were aligned in MAFFT v.7 using default settings </w:t>
      </w:r>
      <w:r w:rsidRPr="009A2357">
        <w:fldChar w:fldCharType="begin"/>
      </w:r>
      <w:r w:rsidR="008D249A">
        <w:instrText xml:space="preserve"> ADDIN EN.CITE &lt;EndNote&gt;&lt;Cite&gt;&lt;Author&gt;Katoh&lt;/Author&gt;&lt;Year&gt;2019&lt;/Year&gt;&lt;RecNum&gt;450&lt;/RecNum&gt;&lt;DisplayText&gt;&lt;style size="10"&gt;[28]&lt;/style&gt;&lt;/DisplayText&gt;&lt;record&gt;&lt;rec-number&gt;450&lt;/rec-number&gt;&lt;foreign-keys&gt;&lt;key app="EN" db-id="psx5aavda22efleatx5vaweatapzwapastxd" timestamp="1594223498" guid="03da1e88-e5fa-4af3-8b0e-711fb3f23890"&gt;450&lt;/key&gt;&lt;/foreign-keys&gt;&lt;ref-type name="Journal Article"&gt;17&lt;/ref-type&gt;&lt;contributors&gt;&lt;authors&gt;&lt;author&gt;Katoh, Kazutaka&lt;/author&gt;&lt;author&gt;Rozewicki, John&lt;/author&gt;&lt;author&gt;Yamada, Kazunori D&lt;/author&gt;&lt;/authors&gt;&lt;/contributors&gt;&lt;titles&gt;&lt;title&gt;MAFFT online service: multiple sequence alignment, interactive sequence choice and visualization&lt;/title&gt;&lt;secondary-title&gt;Briefings in bioinformatics&lt;/secondary-title&gt;&lt;/titles&gt;&lt;periodical&gt;&lt;full-title&gt;Briefings in bioinformatics&lt;/full-title&gt;&lt;/periodical&gt;&lt;pages&gt;1160-1166&lt;/pages&gt;&lt;volume&gt;20&lt;/volume&gt;&lt;number&gt;4&lt;/number&gt;&lt;dates&gt;&lt;year&gt;2019&lt;/year&gt;&lt;/dates&gt;&lt;isbn&gt;1467-5463&lt;/isbn&gt;&lt;urls&gt;&lt;/urls&gt;&lt;/record&gt;&lt;/Cite&gt;&lt;/EndNote&gt;</w:instrText>
      </w:r>
      <w:r w:rsidRPr="009A2357">
        <w:fldChar w:fldCharType="separate"/>
      </w:r>
      <w:r w:rsidR="008D249A">
        <w:rPr>
          <w:noProof/>
        </w:rPr>
        <w:t>[28]</w:t>
      </w:r>
      <w:r w:rsidRPr="009A2357">
        <w:fldChar w:fldCharType="end"/>
      </w:r>
      <w:r w:rsidRPr="009A2357">
        <w:t xml:space="preserve">. We used Gblocks 0.91b to remove ambiguously aligned sites from 12S, 18S, and 28S alignments, using options for less stringent selection including allowing smaller final blocks, gap positions within blocks, and less strict flanking requirements </w:t>
      </w:r>
      <w:r w:rsidRPr="009A2357">
        <w:fldChar w:fldCharType="begin"/>
      </w:r>
      <w:r w:rsidR="008D249A">
        <w:instrText xml:space="preserve"> ADDIN EN.CITE &lt;EndNote&gt;&lt;Cite&gt;&lt;Author&gt;Talavera&lt;/Author&gt;&lt;Year&gt;2007&lt;/Year&gt;&lt;RecNum&gt;306&lt;/RecNum&gt;&lt;DisplayText&gt;&lt;style size="10"&gt;[29]&lt;/style&gt;&lt;/DisplayText&gt;&lt;record&gt;&lt;rec-number&gt;306&lt;/rec-number&gt;&lt;foreign-keys&gt;&lt;key app="EN" db-id="psx5aavda22efleatx5vaweatapzwapastxd" timestamp="1583304146" guid="c4ab0ca5-2896-4a88-81ac-86426aafa162"&gt;306&lt;/key&gt;&lt;/foreign-keys&gt;&lt;ref-type name="Journal Article"&gt;17&lt;/ref-type&gt;&lt;contributors&gt;&lt;authors&gt;&lt;author&gt;Talavera, Gerard&lt;/author&gt;&lt;author&gt;Castresana, Jose&lt;/author&gt;&lt;/authors&gt;&lt;/contributors&gt;&lt;titles&gt;&lt;title&gt;Improvement of phylogenies after removing divergent and ambiguously aligned blocks from protein sequence alignments&lt;/title&gt;&lt;secondary-title&gt;Systematic biology&lt;/secondary-title&gt;&lt;/titles&gt;&lt;periodical&gt;&lt;full-title&gt;Systematic biology&lt;/full-title&gt;&lt;/periodical&gt;&lt;pages&gt;564-577&lt;/pages&gt;&lt;volume&gt;56&lt;/volume&gt;&lt;number&gt;4&lt;/number&gt;&lt;dates&gt;&lt;year&gt;2007&lt;/year&gt;&lt;/dates&gt;&lt;isbn&gt;1063-5157&lt;/isbn&gt;&lt;urls&gt;&lt;/urls&gt;&lt;/record&gt;&lt;/Cite&gt;&lt;/EndNote&gt;</w:instrText>
      </w:r>
      <w:r w:rsidRPr="009A2357">
        <w:fldChar w:fldCharType="separate"/>
      </w:r>
      <w:r w:rsidR="008D249A">
        <w:rPr>
          <w:noProof/>
        </w:rPr>
        <w:t>[29]</w:t>
      </w:r>
      <w:r w:rsidRPr="009A2357">
        <w:fldChar w:fldCharType="end"/>
      </w:r>
      <w:r w:rsidRPr="009A2357">
        <w:t xml:space="preserve">. This resulted in alignments for 12s, 18s, and 28s of 346 bp, 1442 bp, and 253 bp in length, respectively. We used MEGA to manually adjust the alignments of protein coding genes (COI, COII, elongation factor 1, cytochrome b, and arginine kinase) to ensure that the reading frame was maintained </w:t>
      </w:r>
      <w:r w:rsidRPr="009A2357">
        <w:fldChar w:fldCharType="begin"/>
      </w:r>
      <w:r w:rsidR="008D249A">
        <w:instrText xml:space="preserve"> ADDIN EN.CITE &lt;EndNote&gt;&lt;Cite&gt;&lt;Author&gt;Tamura&lt;/Author&gt;&lt;Year&gt;2011&lt;/Year&gt;&lt;RecNum&gt;307&lt;/RecNum&gt;&lt;DisplayText&gt;&lt;style size="10"&gt;[30]&lt;/style&gt;&lt;/DisplayText&gt;&lt;record&gt;&lt;rec-number&gt;307&lt;/rec-number&gt;&lt;foreign-keys&gt;&lt;key app="EN" db-id="psx5aavda22efleatx5vaweatapzwapastxd" timestamp="1583304154" guid="30c18d2e-80e5-46f2-b0cb-470ea6ed67ee"&gt;307&lt;/key&gt;&lt;/foreign-keys&gt;&lt;ref-type name="Journal Article"&gt;17&lt;/ref-type&gt;&lt;contributors&gt;&lt;authors&gt;&lt;author&gt;Tamura, Koichiro&lt;/author&gt;&lt;author&gt;Peterson, Daniel&lt;/author&gt;&lt;author&gt;Peterson, Nicholas&lt;/author&gt;&lt;author&gt;Stecher, Glen&lt;/author&gt;&lt;author&gt;Nei, Masatoshi&lt;/author&gt;&lt;author&gt;Kumar, Sudhir&lt;/author&gt;&lt;/authors&gt;&lt;/contributors&gt;&lt;titles&gt;&lt;title&gt;MEGA5: molecular evolutionary genetics analysis using maximum likelihood, evolutionary distance, and maximum parsimony methods&lt;/title&gt;&lt;secondary-title&gt;Molecular biology and evolution&lt;/secondary-title&gt;&lt;/titles&gt;&lt;periodical&gt;&lt;full-title&gt;Molecular Biology and Evolution&lt;/full-title&gt;&lt;/periodical&gt;&lt;pages&gt;2731-2739&lt;/pages&gt;&lt;volume&gt;28&lt;/volume&gt;&lt;number&gt;10&lt;/number&gt;&lt;dates&gt;&lt;year&gt;2011&lt;/year&gt;&lt;/dates&gt;&lt;isbn&gt;1537-1719&lt;/isbn&gt;&lt;urls&gt;&lt;/urls&gt;&lt;/record&gt;&lt;/Cite&gt;&lt;/EndNote&gt;</w:instrText>
      </w:r>
      <w:r w:rsidRPr="009A2357">
        <w:fldChar w:fldCharType="separate"/>
      </w:r>
      <w:r w:rsidR="008D249A">
        <w:rPr>
          <w:noProof/>
        </w:rPr>
        <w:t>[30]</w:t>
      </w:r>
      <w:r w:rsidRPr="009A2357">
        <w:fldChar w:fldCharType="end"/>
      </w:r>
      <w:r w:rsidRPr="009A2357">
        <w:t xml:space="preserve">. These alignments were 1463 bp, 683 bp, 1064 bp, 409 bp, and 1019 bp in length, respectively. For tree inferences in RAxML, alignments were concatenated (total length 6686 bp) while each gene was kept separate for Bayesian tree inference. </w:t>
      </w:r>
    </w:p>
    <w:p w:rsidR="009A2357" w:rsidRPr="009A2357" w:rsidRDefault="009A2357" w:rsidP="009A2357">
      <w:pPr>
        <w:pStyle w:val="MDPI31text"/>
      </w:pPr>
      <w:r w:rsidRPr="009A2357">
        <w:t xml:space="preserve">Rogue taxa, or taxa which are placed inconsistently with equal probability during phylogenetic inference due to insufficient or erroneous data, will often lead to overestimation of rates of trail evolution, similar to what is seen in supertrees </w:t>
      </w:r>
      <w:r w:rsidRPr="009A2357">
        <w:fldChar w:fldCharType="begin">
          <w:fldData xml:space="preserve">PEVuZE5vdGU+PENpdGU+PEF1dGhvcj5UaG9tc29uPC9BdXRob3I+PFllYXI+MjAxMDwvWWVhcj48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</w:fldData>
        </w:fldChar>
      </w:r>
      <w:r w:rsidR="008D249A">
        <w:instrText xml:space="preserve"> ADDIN EN.CITE </w:instrText>
      </w:r>
      <w:r w:rsidR="008D249A">
        <w:fldChar w:fldCharType="begin">
          <w:fldData xml:space="preserve">PEVuZE5vdGU+PENpdGU+PEF1dGhvcj5UaG9tc29uPC9BdXRob3I+PFllYXI+MjAxMDwvWWVhcj48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</w:fldData>
        </w:fldChar>
      </w:r>
      <w:r w:rsidR="008D249A">
        <w:instrText xml:space="preserve"> ADDIN EN.CITE.DATA </w:instrText>
      </w:r>
      <w:r w:rsidR="008D249A">
        <w:fldChar w:fldCharType="end"/>
      </w:r>
      <w:r w:rsidRPr="009A2357">
        <w:fldChar w:fldCharType="separate"/>
      </w:r>
      <w:r w:rsidR="008D249A">
        <w:rPr>
          <w:noProof/>
        </w:rPr>
        <w:t>[31,32]</w:t>
      </w:r>
      <w:r w:rsidRPr="009A2357">
        <w:fldChar w:fldCharType="end"/>
      </w:r>
      <w:r w:rsidRPr="009A2357">
        <w:t xml:space="preserve">. To avoid this problem we inferred 100 rapid bootstrap trees using RAxML-HPC v.8 on XSEDE using the CIPRES Science Gateway </w:t>
      </w:r>
      <w:r w:rsidRPr="009A2357">
        <w:fldChar w:fldCharType="begin"/>
      </w:r>
      <w:r w:rsidR="008D249A">
        <w:instrText xml:space="preserve"> ADDIN EN.CITE &lt;EndNote&gt;&lt;Cite&gt;&lt;Author&gt;Miller&lt;/Author&gt;&lt;Year&gt;2010&lt;/Year&gt;&lt;RecNum&gt;293&lt;/RecNum&gt;&lt;DisplayText&gt;&lt;style size="10"&gt;[33,34]&lt;/style&gt;&lt;/DisplayText&gt;&lt;record&gt;&lt;rec-number&gt;293&lt;/rec-number&gt;&lt;foreign-keys&gt;&lt;key app="EN" db-id="psx5aavda22efleatx5vaweatapzwapastxd" timestamp="1582693133" guid="131ad6ab-2696-4c2e-a97f-7a50230c99a3"&gt;293&lt;/key&gt;&lt;/foreign-keys&gt;&lt;ref-type name="Conference Proceedings"&gt;10&lt;/ref-type&gt;&lt;contributors&gt;&lt;authors&gt;&lt;author&gt;Miller, Mark A&lt;/author&gt;&lt;author&gt;Pfeiffer, Wayne&lt;/author&gt;&lt;author&gt;Schwartz, Terri&lt;/author&gt;&lt;/authors&gt;&lt;/contributors&gt;&lt;titles&gt;&lt;title&gt;Creating the CIPRES Science Gateway for inference of large phylogenetic trees&lt;/title&gt;&lt;secondary-title&gt;2010 gateway computing environments workshop (GCE)&lt;/secondary-title&gt;&lt;/titles&gt;&lt;pages&gt;1-8&lt;/pages&gt;&lt;dates&gt;&lt;year&gt;2010&lt;/year&gt;&lt;/dates&gt;&lt;publisher&gt;Ieee&lt;/publisher&gt;&lt;isbn&gt;1424497523&lt;/isbn&gt;&lt;urls&gt;&lt;/urls&gt;&lt;/record&gt;&lt;/Cite&gt;&lt;Cite&gt;&lt;Author&gt;Stamatakis&lt;/Author&gt;&lt;Year&gt;2014&lt;/Year&gt;&lt;RecNum&gt;294&lt;/RecNum&gt;&lt;record&gt;&lt;rec-number&gt;294&lt;/rec-number&gt;&lt;foreign-keys&gt;&lt;key app="EN" db-id="psx5aavda22efleatx5vaweatapzwapastxd" timestamp="1582693233" guid="e710587a-e17e-437e-b61f-f6f22ddd1a10"&gt;294&lt;/key&gt;&lt;/foreign-keys&gt;&lt;ref-type name="Journal Article"&gt;17&lt;/ref-type&gt;&lt;contributors&gt;&lt;authors&gt;&lt;author&gt;Stamatakis, Alexandros&lt;/author&gt;&lt;/authors&gt;&lt;/contributors&gt;&lt;titles&gt;&lt;title&gt;RAxML version 8: a tool for phylogenetic analysis and post-analysis of large phylogenies&lt;/title&gt;&lt;secondary-title&gt;Bioinformatics&lt;/secondary-title&gt;&lt;/titles&gt;&lt;periodical&gt;&lt;full-title&gt;Bioinformatics&lt;/full-title&gt;&lt;/periodical&gt;&lt;pages&gt;1312-1313&lt;/pages&gt;&lt;volume&gt;30&lt;/volume&gt;&lt;number&gt;9&lt;/number&gt;&lt;dates&gt;&lt;year&gt;2014&lt;/year&gt;&lt;/dates&gt;&lt;isbn&gt;1367-4803&lt;/isbn&gt;&lt;urls&gt;&lt;/urls&gt;&lt;/record&gt;&lt;/Cite&gt;&lt;/EndNote&gt;</w:instrText>
      </w:r>
      <w:r w:rsidRPr="009A2357">
        <w:fldChar w:fldCharType="separate"/>
      </w:r>
      <w:r w:rsidR="008D249A">
        <w:rPr>
          <w:noProof/>
        </w:rPr>
        <w:t>[33,34]</w:t>
      </w:r>
      <w:r w:rsidRPr="009A2357">
        <w:fldChar w:fldCharType="end"/>
      </w:r>
      <w:r w:rsidRPr="009A2357">
        <w:t xml:space="preserve">. Using these trees, we calculated taxon instability index with Mesquite v 3.6 </w:t>
      </w:r>
      <w:r w:rsidRPr="009A2357">
        <w:fldChar w:fldCharType="begin"/>
      </w:r>
      <w:r w:rsidR="008D249A">
        <w:instrText xml:space="preserve"> ADDIN EN.CITE &lt;EndNote&gt;&lt;Cite&gt;&lt;Author&gt;Maddison&lt;/Author&gt;&lt;Year&gt;2007&lt;/Year&gt;&lt;RecNum&gt;291&lt;/RecNum&gt;&lt;DisplayText&gt;&lt;style size="10"&gt;[35]&lt;/style&gt;&lt;/DisplayText&gt;&lt;record&gt;&lt;rec-number&gt;291&lt;/rec-number&gt;&lt;foreign-keys&gt;&lt;key app="EN" db-id="psx5aavda22efleatx5vaweatapzwapastxd" timestamp="1582692712" guid="60f76650-816b-4c18-ba58-e433e8a94d5e"&gt;291&lt;/key&gt;&lt;/foreign-keys&gt;&lt;ref-type name="Journal Article"&gt;17&lt;/ref-type&gt;&lt;contributors&gt;&lt;authors&gt;&lt;author&gt;Maddison, WP&lt;/author&gt;&lt;author&gt;Maddison, DR&lt;/author&gt;&lt;/authors&gt;&lt;/contributors&gt;&lt;titles&gt;&lt;title&gt;Mesquite: a modular system for evolutionary analysis. 2011&lt;/title&gt;&lt;secondary-title&gt;See http://mesquiteproject. org&lt;/secondary-title&gt;&lt;/titles&gt;&lt;periodical&gt;&lt;full-title&gt;See http://mesquiteproject. org&lt;/full-title&gt;&lt;/periodical&gt;&lt;dates&gt;&lt;year&gt;2007&lt;/year&gt;&lt;/dates&gt;&lt;urls&gt;&lt;/urls&gt;&lt;/record&gt;&lt;/Cite&gt;&lt;/EndNote&gt;</w:instrText>
      </w:r>
      <w:r w:rsidRPr="009A2357">
        <w:fldChar w:fldCharType="separate"/>
      </w:r>
      <w:r w:rsidR="008D249A">
        <w:rPr>
          <w:noProof/>
        </w:rPr>
        <w:t>[35]</w:t>
      </w:r>
      <w:r w:rsidRPr="009A2357">
        <w:fldChar w:fldCharType="end"/>
      </w:r>
      <w:r w:rsidRPr="009A2357">
        <w:t xml:space="preserve">. A high index value, indicates a taxon has variable placement among trees. By visual inspection of this distribution, we found that 92% of taxa have indices less than 5000 but that above this, instability quickly increases (Supplemental Figure 1). To ensure that our estimate of rates was conservative, we removed the 18 taxa with scores higher than this cutoff. Filtering our dataset based on BUSCO scores (discussed below), gene sequence availability, and taxonomic instability index scores led to a final dataset of 201 taxa for our Bayesian analysis. </w:t>
      </w:r>
    </w:p>
    <w:p w:rsidR="009A2357" w:rsidRPr="009A2357" w:rsidRDefault="009A2357" w:rsidP="009A2357">
      <w:pPr>
        <w:pStyle w:val="MDPI31text"/>
      </w:pPr>
      <w:r w:rsidRPr="009A2357">
        <w:t xml:space="preserve">We used BEAST v2.5.2 for the inference of time-calibrated phylogenies </w:t>
      </w:r>
      <w:r w:rsidRPr="009A2357">
        <w:fldChar w:fldCharType="begin"/>
      </w:r>
      <w:r w:rsidR="008D249A">
        <w:instrText xml:space="preserve"> ADDIN EN.CITE &lt;EndNote&gt;&lt;Cite&gt;&lt;Author&gt;Drummond&lt;/Author&gt;&lt;Year&gt;2007&lt;/Year&gt;&lt;RecNum&gt;298&lt;/RecNum&gt;&lt;DisplayText&gt;&lt;style size="10"&gt;[36]&lt;/style&gt;&lt;/DisplayText&gt;&lt;record&gt;&lt;rec-number&gt;298&lt;/rec-number&gt;&lt;foreign-keys&gt;&lt;key app="EN" db-id="psx5aavda22efleatx5vaweatapzwapastxd" timestamp="1582697880" guid="27b27e13-c060-43b8-afab-5cefcc60d643"&gt;298&lt;/key&gt;&lt;/foreign-keys&gt;&lt;ref-type name="Journal Article"&gt;17&lt;/ref-type&gt;&lt;contributors&gt;&lt;authors&gt;&lt;author&gt;Drummond, Alexei J&lt;/author&gt;&lt;author&gt;Rambaut, Andrew&lt;/author&gt;&lt;/authors&gt;&lt;/contributors&gt;&lt;titles&gt;&lt;title&gt;BEAST: Bayesian evolutionary analysis by sampling trees&lt;/title&gt;&lt;secondary-title&gt;BMC evolutionary biology&lt;/secondary-title&gt;&lt;/titles&gt;&lt;periodical&gt;&lt;full-title&gt;BMC evolutionary biology&lt;/full-title&gt;&lt;/periodical&gt;&lt;pages&gt;214&lt;/pages&gt;&lt;volume&gt;7&lt;/volume&gt;&lt;number&gt;1&lt;/number&gt;&lt;dates&gt;&lt;year&gt;2007&lt;/year&gt;&lt;/dates&gt;&lt;isbn&gt;1471-2148&lt;/isbn&gt;&lt;urls&gt;&lt;/urls&gt;&lt;/record&gt;&lt;/Cite&gt;&lt;/EndNote&gt;</w:instrText>
      </w:r>
      <w:r w:rsidRPr="009A2357">
        <w:fldChar w:fldCharType="separate"/>
      </w:r>
      <w:r w:rsidR="008D249A">
        <w:rPr>
          <w:noProof/>
        </w:rPr>
        <w:t>[36]</w:t>
      </w:r>
      <w:r w:rsidRPr="009A2357">
        <w:fldChar w:fldCharType="end"/>
      </w:r>
      <w:r w:rsidRPr="009A2357">
        <w:t xml:space="preserve">. For a starting tree, we selected the best maximum likelihood tree from RAxML which we converted to an ultrametric tree using nonparametric rate smoothing implemented in the function chronos in the R package APE </w:t>
      </w:r>
      <w:r w:rsidRPr="009A2357">
        <w:fldChar w:fldCharType="begin"/>
      </w:r>
      <w:r w:rsidR="008D249A">
        <w:instrText xml:space="preserve"> ADDIN EN.CITE &lt;EndNote&gt;&lt;Cite&gt;&lt;Author&gt;Paradis&lt;/Author&gt;&lt;Year&gt;2004&lt;/Year&gt;&lt;RecNum&gt;297&lt;/RecNum&gt;&lt;DisplayText&gt;&lt;style size="10"&gt;[37]&lt;/style&gt;&lt;/DisplayText&gt;&lt;record&gt;&lt;rec-number&gt;297&lt;/rec-number&gt;&lt;foreign-keys&gt;&lt;key app="EN" db-id="psx5aavda22efleatx5vaweatapzwapastxd" timestamp="1582697842" guid="8dadd8cb-0d61-422b-a3b4-f689de1d19d6"&gt;297&lt;/key&gt;&lt;/foreign-keys&gt;&lt;ref-type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r w:rsidRPr="009A2357">
        <w:fldChar w:fldCharType="separate"/>
      </w:r>
      <w:r w:rsidR="008D249A">
        <w:rPr>
          <w:noProof/>
        </w:rPr>
        <w:t>[37]</w:t>
      </w:r>
      <w:r w:rsidRPr="009A2357">
        <w:fldChar w:fldCharType="end"/>
      </w:r>
      <w:r w:rsidRPr="009A2357">
        <w:t xml:space="preserve">. We assumed a relaxed log-normal clock, a GTR substitution model with among site rate variation modeled with a gamma distribution, and a birth-death branching model. We estimated nucleotide substitution model parameters independently across four partitions: protein codon positions 1, 2, 3, and the ribosomal positions. To calibrate divergence time estimation, we placed eight priors on node ages in the tree. Normal distributions with means and standard deviations were chosen to represent previous estimates of the ages of the root of the tree and the origin of: Lepidoptera, Diptera, Hymenoptera, Coleoptera, Blattodea/Phasmatodea, Hemiptera, and Ephemeroptera/Odonata (Supplemental Table 3) </w:t>
      </w:r>
      <w:r w:rsidRPr="009A2357">
        <w:fldChar w:fldCharType="begin"/>
      </w:r>
      <w:r w:rsidR="008D249A">
        <w:instrText xml:space="preserve"> ADDIN EN.CITE &lt;EndNote&gt;&lt;Cite&gt;&lt;Author&gt;Misof&lt;/Author&gt;&lt;Year&gt;2014&lt;/Year&gt;&lt;RecNum&gt;300&lt;/RecNum&gt;&lt;DisplayText&gt;&lt;style size="10"&gt;[38]&lt;/style&gt;&lt;/DisplayText&gt;&lt;record&gt;&lt;rec-number&gt;300&lt;/rec-number&gt;&lt;foreign-keys&gt;&lt;key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r w:rsidRPr="009A2357">
        <w:fldChar w:fldCharType="separate"/>
      </w:r>
      <w:r w:rsidR="008D249A">
        <w:rPr>
          <w:noProof/>
        </w:rPr>
        <w:t>[38]</w:t>
      </w:r>
      <w:r w:rsidRPr="009A2357">
        <w:fldChar w:fldCharType="end"/>
      </w:r>
      <w:r w:rsidRPr="009A2357">
        <w:t>. Two independent BEAST runs were completed.</w:t>
      </w:r>
    </w:p>
    <w:p w:rsidR="009A2357" w:rsidRPr="009A2357" w:rsidDel="004A2084" w:rsidRDefault="009A2357" w:rsidP="009A2357">
      <w:pPr>
        <w:pStyle w:val="MDPI31text"/>
        <w:rPr>
          <w:del w:id="24" w:author="Microsoft Office User" w:date="2020-07-29T12:05:00Z"/>
        </w:rPr>
      </w:pPr>
      <w:del w:id="25" w:author="Microsoft Office User" w:date="2020-07-29T12:05:00Z">
        <w:r w:rsidRPr="009A2357" w:rsidDel="004A2084">
          <w:delText xml:space="preserve">Both MCMC chains converged on a parameter space with equal likelihood by 100 million generations. The chains were then allowed to run for an additional 100 million generations to ensure neither chain discovered an area of higher likelihood. Convergence was evaluated using Tracer v1.7.1 </w:delText>
        </w:r>
        <w:r w:rsidRPr="009A2357" w:rsidDel="004A2084">
          <w:fldChar w:fldCharType="begin"/>
        </w:r>
        <w:r w:rsidRPr="009A2357" w:rsidDel="004A2084">
          <w:delInstrText xml:space="preserve"> ADDIN EN.CITE &lt;EndNote&gt;&lt;Cite&gt;&lt;Author&gt;Rambaut&lt;/Author&gt;&lt;Year&gt;2018&lt;/Year&gt;&lt;RecNum&gt;296&lt;/RecNum&gt;&lt;DisplayText&gt;(&lt;style face="smallcaps"&gt;Rambaut&lt;/style&gt;&lt;style face="italic"&gt; et al.&lt;/style&gt; 2018)&lt;/DisplayText&gt;&lt;record&gt;&lt;rec-number&gt;296&lt;/rec-number&gt;&lt;foreign-keys&gt;&lt;key app="EN" db-id="psx5aavda22efleatx5vaweatapzwapastxd" timestamp="1582697536" guid="2f8eeb75-0ccb-4f97-8532-d4edae992d5e"&gt;296&lt;/key&gt;&lt;/foreign-keys&gt;&lt;ref-type name="Journal Article"&gt;17&lt;/ref-type&gt;&lt;contributors&gt;&lt;authors&gt;&lt;author&gt;Rambaut, Andrew&lt;/author&gt;&lt;author&gt;Drummond, Alexei J.&lt;/author&gt;&lt;author&gt;Xie, Dong&lt;/author&gt;&lt;author&gt;Baele, Guy&lt;/author&gt;&lt;author&gt;Suchard, Marc A.&lt;/author&gt;&lt;/authors&gt;&lt;/contributors&gt;&lt;titles&gt;&lt;title&gt;Posterior Summarization in Bayesian Phylogenetics Using Tracer 1.7&lt;/title&gt;&lt;secondary-title&gt;Systematic Biology&lt;/secondary-title&gt;&lt;/titles&gt;&lt;periodical&gt;&lt;full-title&gt;Systematic biology&lt;/full-title&gt;&lt;/periodical&gt;&lt;pages&gt;901-904&lt;/pages&gt;&lt;volume&gt;67&lt;/volume&gt;&lt;number&gt;5&lt;/number&gt;&lt;dates&gt;&lt;year&gt;2018&lt;/year&gt;&lt;/dates&gt;&lt;isbn&gt;1063-5157&lt;/isbn&gt;&lt;urls&gt;&lt;related-urls&gt;&lt;url&gt;https://doi.org/10.1093/sysbio/syy032&lt;/url&gt;&lt;/related-urls&gt;&lt;/urls&gt;&lt;electronic-resource-num&gt;10.1093/sysbio/syy032&lt;/electronic-resource-num&gt;&lt;access-date&gt;2/26/2020&lt;/access-date&gt;&lt;/record&gt;&lt;/Cite&gt;&lt;/EndNote&gt;</w:delInstrText>
        </w:r>
        <w:r w:rsidRPr="009A2357" w:rsidDel="004A2084">
          <w:fldChar w:fldCharType="separate"/>
        </w:r>
        <w:r w:rsidRPr="009A2357" w:rsidDel="004A2084">
          <w:delText>(Rambaut</w:delText>
        </w:r>
        <w:r w:rsidRPr="009A2357" w:rsidDel="004A2084">
          <w:rPr>
            <w:i/>
          </w:rPr>
          <w:delText xml:space="preserve"> et al.</w:delText>
        </w:r>
        <w:r w:rsidRPr="009A2357" w:rsidDel="004A2084">
          <w:delText xml:space="preserve"> 2018)</w:delText>
        </w:r>
        <w:r w:rsidRPr="009A2357" w:rsidDel="004A2084">
          <w:fldChar w:fldCharType="end"/>
        </w:r>
        <w:r w:rsidRPr="009A2357" w:rsidDel="004A2084">
          <w:delText xml:space="preserve">. The first 75% of each MCMC was discarded as burnin, and 50 trees were randomly sampled from the post-burnin portion of each MCMC. These 100 trees represent our posterior distribution of trees and were used in all downstream analyses. The phylogenies inferred were consistent with a comprehensive order level phylogeny </w:delText>
        </w:r>
        <w:r w:rsidRPr="009A2357" w:rsidDel="004A2084">
          <w:fldChar w:fldCharType="begin"/>
        </w:r>
        <w:r w:rsidRPr="009A2357" w:rsidDel="004A2084">
          <w:delInstrText xml:space="preserve"> ADDIN EN.CITE &lt;EndNote&gt;&lt;Cite&gt;&lt;Author&gt;Misof&lt;/Author&gt;&lt;Year&gt;2014&lt;/Year&gt;&lt;RecNum&gt;300&lt;/RecNum&gt;&lt;DisplayText&gt;(&lt;style face="smallcaps"&gt;Misof&lt;/style&gt;&lt;style face="italic"&gt; et al.&lt;/style&gt; 2014)&lt;/DisplayText&gt;&lt;record&gt;&lt;rec-number&gt;300&lt;/rec-number&gt;&lt;foreign-keys&gt;&lt;key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delInstrText>
        </w:r>
        <w:r w:rsidRPr="009A2357" w:rsidDel="004A2084">
          <w:fldChar w:fldCharType="separate"/>
        </w:r>
        <w:r w:rsidRPr="009A2357" w:rsidDel="004A2084">
          <w:delText>(Misof</w:delText>
        </w:r>
        <w:r w:rsidRPr="009A2357" w:rsidDel="004A2084">
          <w:rPr>
            <w:i/>
          </w:rPr>
          <w:delText xml:space="preserve"> et al.</w:delText>
        </w:r>
        <w:r w:rsidRPr="009A2357" w:rsidDel="004A2084">
          <w:delText xml:space="preserve"> 2014)</w:delText>
        </w:r>
        <w:r w:rsidRPr="009A2357" w:rsidDel="004A2084">
          <w:fldChar w:fldCharType="end"/>
        </w:r>
        <w:r w:rsidRPr="009A2357" w:rsidDel="004A2084">
          <w:delText xml:space="preserve">. </w:delText>
        </w:r>
      </w:del>
    </w:p>
    <w:p w:rsidR="009A2357" w:rsidRPr="009A2357" w:rsidRDefault="009A2357" w:rsidP="009A2357">
      <w:pPr>
        <w:pStyle w:val="MDPI31text"/>
        <w:ind w:firstLine="420"/>
      </w:pPr>
      <w:r w:rsidRPr="009A2357">
        <w:rPr>
          <w:bCs/>
          <w:i/>
        </w:rPr>
        <w:t>Microsatellite and other trait data:</w:t>
      </w:r>
      <w:r w:rsidRPr="009A2357">
        <w:t xml:space="preserve"> We used micRocounter v.1.1.0 to characterize the microsatellite content within the insect genome assemblies </w:t>
      </w:r>
      <w:r w:rsidRPr="009A2357">
        <w:fldChar w:fldCharType="begin"/>
      </w:r>
      <w:r w:rsidR="008D249A">
        <w:instrText xml:space="preserve"> ADDIN EN.CITE &lt;EndNote&gt;&lt;Cite&gt;&lt;Author&gt;Lo&lt;/Author&gt;&lt;Year&gt;2019&lt;/Year&gt;&lt;RecNum&gt;302&lt;/RecNum&gt;&lt;DisplayText&gt;&lt;style size="10"&gt;[39]&lt;/style&gt;&lt;/DisplayText&gt;&lt;record&gt;&lt;rec-number&gt;302&lt;/rec-number&gt;&lt;foreign-keys&gt;&lt;key app="EN" db-id="psx5aavda22efleatx5vaweatapzwapastxd" timestamp="1582699119" guid="33975dad-c625-48f3-9e7f-63e064c3ba20"&gt;302&lt;/key&gt;&lt;/foreign-keys&gt;&lt;ref-type name="Journal Article"&gt;17&lt;/ref-type&gt;&lt;contributors&gt;&lt;authors&gt;&lt;author&gt;Lo, Johnathan&lt;/author&gt;&lt;author&gt;Jonika, Michelle M&lt;/author&gt;&lt;author&gt;Blackmon, Heath&lt;/author&gt;&lt;/authors&gt;&lt;/contributors&gt;&lt;titles&gt;&lt;title&gt;micRocounter: Microsatellite Characterization in Genome Assemblies&lt;/title&gt;&lt;secondary-title&gt;G3: Genes, Genomes, Genetics&lt;/secondary-title&gt;&lt;/titles&gt;&lt;periodical&gt;&lt;full-title&gt;G3: Genes, Genomes, Genetics&lt;/full-title&gt;&lt;/periodical&gt;&lt;pages&gt;3101-3104&lt;/pages&gt;&lt;volume&gt;9&lt;/volume&gt;&lt;number&gt;10&lt;/number&gt;&lt;dates&gt;&lt;year&gt;2019&lt;/year&gt;&lt;/dates&gt;&lt;isbn&gt;2160-1836&lt;/isbn&gt;&lt;urls&gt;&lt;/urls&gt;&lt;/record&gt;&lt;/Cite&gt;&lt;/EndNote&gt;</w:instrText>
      </w:r>
      <w:r w:rsidRPr="009A2357">
        <w:fldChar w:fldCharType="separate"/>
      </w:r>
      <w:r w:rsidR="008D249A">
        <w:rPr>
          <w:noProof/>
        </w:rPr>
        <w:t>[39]</w:t>
      </w:r>
      <w:r w:rsidRPr="009A2357">
        <w:fldChar w:fldCharType="end"/>
      </w:r>
      <w:r w:rsidRPr="009A2357">
        <w:t xml:space="preserve">. We recorded the number of dinucleotide (2mer), trinucleotide (3mer), tetranucleotide (4mer), pentanucleotide (5mer) and hexanucleotide (6mer) repetitive sequences. Default micRocounter settings for all parameters were used (2mers required 6 repeats, 3mers required 4 repeats, while 4-6mers required 3 repeats). We used a publicly available dataset to gather centromere type (holocentric or monocentric) and chromosome number for as many species as possible in our study </w:t>
      </w:r>
      <w:r w:rsidRPr="009A2357">
        <w:fldChar w:fldCharType="begin"/>
      </w:r>
      <w:r w:rsidR="008D249A">
        <w:instrText xml:space="preserve"> ADDIN EN.CITE &lt;EndNote&gt;&lt;Cite&gt;&lt;Author&gt;Blackmon&lt;/Author&gt;&lt;Year&gt;2017&lt;/Year&gt;&lt;RecNum&gt;2533&lt;/RecNum&gt;&lt;DisplayText&gt;&lt;style size="10"&gt;[40,41]&lt;/style&gt;&lt;/DisplayText&gt;&lt;record&gt;&lt;rec-number&gt;2533&lt;/rec-number&gt;&lt;foreign-keys&gt;&lt;key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2016&lt;/edition&gt;&lt;dates&gt;&lt;year&gt;2017&lt;/year&gt;&lt;/dates&gt;&lt;urls&gt;&lt;/urls&gt;&lt;electronic-resource-num&gt;10.1093/jhered/esw047&lt;/electronic-resource-num&gt;&lt;/record&gt;&lt;/Cite&gt;&lt;Cite&gt;&lt;Author&gt;Tree of Sex&lt;/Author&gt;&lt;Year&gt;2014&lt;/Year&gt;&lt;RecNum&gt;2470&lt;/RecNum&gt;&lt;record&gt;&lt;rec-number&gt;2470&lt;/rec-number&gt;&lt;foreign-keys&gt;&lt;key app="EN" db-id="20tzrfeaqpde50e5e2dvtwp7sr5fsss0txe9" timestamp="1466222525"&gt;2470&lt;/key&gt;&lt;/foreign-keys&gt;&lt;ref-type name="Journal Article"&gt;17&lt;/ref-type&gt;&lt;contributors&gt;&lt;authors&gt;&lt;author&gt;Tree of Sex, Consortium&lt;/author&gt;&lt;/authors&gt;&lt;/contributors&gt;&lt;titles&gt;&lt;title&gt;Tree of Sex: A database of sexual systems&lt;/title&gt;&lt;secondary-title&gt;Scientific Data&lt;/secondary-title&gt;&lt;/titles&gt;&lt;periodical&gt;&lt;full-title&gt;Scientific data&lt;/full-title&gt;&lt;/periodical&gt;&lt;dates&gt;&lt;year&gt;2014&lt;/year&gt;&lt;/dates&gt;&lt;urls&gt;&lt;related-urls&gt;&lt;url&gt;http://www.nature.com/articles/sdata201415&lt;/url&gt;&lt;url&gt;file://localhost/Users/lauraross/Documents/Papers2/Articles/2014/Tree%20of%20Sex%20Consortium/2014%20Tree%20of%20Sex%20Consortium.pdf&lt;/url&gt;&lt;/related-urls&gt;&lt;/urls&gt;&lt;electronic-resource-num&gt;papers2://publication/uuid/64802FD2-483B-423D-A5D6-565EA6457FA2&lt;/electronic-resource-num&gt;&lt;/record&gt;&lt;/Cite&gt;&lt;/EndNote&gt;</w:instrText>
      </w:r>
      <w:r w:rsidRPr="009A2357">
        <w:fldChar w:fldCharType="separate"/>
      </w:r>
      <w:r w:rsidR="008D249A">
        <w:rPr>
          <w:noProof/>
        </w:rPr>
        <w:t>[40,41]</w:t>
      </w:r>
      <w:r w:rsidRPr="009A2357">
        <w:fldChar w:fldCharType="end"/>
      </w:r>
      <w:r w:rsidRPr="009A2357">
        <w:t xml:space="preserve">. We additionally gathered available genome size estimates from the Animal Genome Size Database </w:t>
      </w:r>
      <w:r w:rsidRPr="009A2357">
        <w:fldChar w:fldCharType="begin"/>
      </w:r>
      <w:r w:rsidR="008D249A">
        <w:instrText xml:space="preserve"> ADDIN EN.CITE &lt;EndNote&gt;&lt;Cite&gt;&lt;Author&gt;Gregory&lt;/Author&gt;&lt;Year&gt;2020&lt;/Year&gt;&lt;RecNum&gt;309&lt;/RecNum&gt;&lt;DisplayText&gt;&lt;style size="10"&gt;[42]&lt;/style&gt;&lt;/DisplayText&gt;&lt;record&gt;&lt;rec-number&gt;309&lt;/rec-number&gt;&lt;foreign-keys&gt;&lt;key app="EN" db-id="psx5aavda22efleatx5vaweatapzwapastxd" timestamp="1583361658" guid="fd023c64-cd60-4dcd-8235-fa778bb770f1"&gt;309&lt;/key&gt;&lt;/foreign-keys&gt;&lt;ref-type name="Journal Article"&gt;17&lt;/ref-type&gt;&lt;contributors&gt;&lt;authors&gt;&lt;author&gt;Gregory, T Ryan&lt;/author&gt;&lt;/authors&gt;&lt;/contributors&gt;&lt;titles&gt;&lt;title&gt;Animal Genome Size Database. 2020&lt;/title&gt;&lt;secondary-title&gt;See http://www. genomesize. com&lt;/secondary-title&gt;&lt;/titles&gt;&lt;periodical&gt;&lt;full-title&gt;See http://www. genomesize. com&lt;/full-title&gt;&lt;/periodical&gt;&lt;dates&gt;&lt;year&gt;2020&lt;/year&gt;&lt;/dates&gt;&lt;urls&gt;&lt;/urls&gt;&lt;/record&gt;&lt;/Cite&gt;&lt;/EndNote&gt;</w:instrText>
      </w:r>
      <w:r w:rsidRPr="009A2357">
        <w:fldChar w:fldCharType="separate"/>
      </w:r>
      <w:r w:rsidR="008D249A">
        <w:rPr>
          <w:noProof/>
        </w:rPr>
        <w:t>[42]</w:t>
      </w:r>
      <w:r w:rsidRPr="009A2357">
        <w:fldChar w:fldCharType="end"/>
      </w:r>
      <w:r w:rsidRPr="009A2357">
        <w:t>.</w:t>
      </w:r>
    </w:p>
    <w:p w:rsidR="00BC228F" w:rsidRDefault="009A2357" w:rsidP="00350123">
      <w:pPr>
        <w:pStyle w:val="MDPI31text"/>
        <w:rPr>
          <w:ins w:id="26" w:author="Microsoft Office User" w:date="2020-07-29T11:40:00Z"/>
        </w:rPr>
      </w:pPr>
      <w:r w:rsidRPr="009A2357">
        <w:rPr>
          <w:bCs/>
          <w:i/>
        </w:rPr>
        <w:t>Estimating rates of microsatellite evolution:</w:t>
      </w:r>
      <w:r w:rsidRPr="009A2357">
        <w:t xml:space="preserve"> We fit Brownian motion models to estimate rates of microsatellite evolution at several levels. </w:t>
      </w:r>
      <w:ins w:id="27" w:author="Microsoft Office User" w:date="2020-07-29T11:40:00Z">
        <w:r w:rsidR="00BC228F" w:rsidRPr="009A2357">
          <w:t xml:space="preserve">All rate estimates </w:t>
        </w:r>
      </w:ins>
      <w:ins w:id="28" w:author="Microsoft Office User" w:date="2020-07-29T11:43:00Z">
        <w:r w:rsidR="00350123">
          <w:t xml:space="preserve">described </w:t>
        </w:r>
      </w:ins>
      <w:ins w:id="29" w:author="Microsoft Office User" w:date="2020-07-29T11:40:00Z">
        <w:r w:rsidR="00BC228F" w:rsidRPr="009A2357">
          <w:t xml:space="preserve">were generated using the restricted maximum likelihood approach </w:t>
        </w:r>
      </w:ins>
      <w:ins w:id="30" w:author="Microsoft Office User" w:date="2020-07-29T11:41:00Z">
        <w:r w:rsidR="00350123">
          <w:t xml:space="preserve">using the ace function in </w:t>
        </w:r>
      </w:ins>
      <w:ins w:id="31" w:author="Microsoft Office User" w:date="2020-07-29T11:40:00Z">
        <w:r w:rsidR="00BC228F" w:rsidRPr="009A2357">
          <w:t xml:space="preserve">the R package APE </w:t>
        </w:r>
        <w:r w:rsidR="00BC228F" w:rsidRPr="009A2357">
          <w:fldChar w:fldCharType="begin"/>
        </w:r>
      </w:ins>
      <w:r w:rsidR="008D249A">
        <w:instrText xml:space="preserve"> ADDIN EN.CITE &lt;EndNote&gt;&lt;Cite&gt;&lt;Author&gt;Paradis&lt;/Author&gt;&lt;Year&gt;2004&lt;/Year&gt;&lt;RecNum&gt;297&lt;/RecNum&gt;&lt;DisplayText&gt;&lt;style size="10"&gt;[37]&lt;/style&gt;&lt;/DisplayText&gt;&lt;record&gt;&lt;rec-number&gt;297&lt;/rec-number&gt;&lt;foreign-keys&gt;&lt;key app="EN" db-id="psx5aavda22efleatx5vaweatapzwapastxd" timestamp="1582697842" guid="8dadd8cb-0d61-422b-a3b4-f689de1d19d6"&gt;297&lt;/key&gt;&lt;/foreign-keys&gt;&lt;ref-type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ins w:id="32" w:author="Microsoft Office User" w:date="2020-07-29T11:40:00Z">
        <w:r w:rsidR="00BC228F" w:rsidRPr="009A2357">
          <w:fldChar w:fldCharType="separate"/>
        </w:r>
      </w:ins>
      <w:r w:rsidR="008D249A">
        <w:rPr>
          <w:noProof/>
        </w:rPr>
        <w:t>[37]</w:t>
      </w:r>
      <w:ins w:id="33" w:author="Microsoft Office User" w:date="2020-07-29T11:40:00Z">
        <w:r w:rsidR="00BC228F" w:rsidRPr="009A2357">
          <w:fldChar w:fldCharType="end"/>
        </w:r>
        <w:r w:rsidR="00BC228F" w:rsidRPr="009A2357">
          <w:t xml:space="preserve">. </w:t>
        </w:r>
        <w:r w:rsidR="00BC228F">
          <w:t xml:space="preserve">This function takes </w:t>
        </w:r>
      </w:ins>
      <w:ins w:id="34" w:author="Microsoft Office User" w:date="2020-07-29T11:41:00Z">
        <w:r w:rsidR="00350123">
          <w:t xml:space="preserve">observed </w:t>
        </w:r>
      </w:ins>
      <w:ins w:id="35" w:author="Microsoft Office User" w:date="2020-07-29T11:40:00Z">
        <w:r w:rsidR="00BC228F">
          <w:t>microsatellite content</w:t>
        </w:r>
      </w:ins>
      <w:ins w:id="36" w:author="Microsoft Office User" w:date="2020-07-29T11:41:00Z">
        <w:r w:rsidR="00350123">
          <w:t xml:space="preserve"> and the phylogeny</w:t>
        </w:r>
      </w:ins>
      <w:ins w:id="37" w:author="Microsoft Office User" w:date="2020-07-29T11:40:00Z">
        <w:r w:rsidR="00BC228F">
          <w:t xml:space="preserve">, and </w:t>
        </w:r>
      </w:ins>
      <w:ins w:id="38" w:author="Microsoft Office User" w:date="2020-07-29T11:42:00Z">
        <w:r w:rsidR="00350123">
          <w:t>returns an ancestral state estimate for every node in the tree and the maximum likelihood estimate for the rate of evolution</w:t>
        </w:r>
      </w:ins>
      <w:ins w:id="39" w:author="Microsoft Office User" w:date="2020-07-29T11:40:00Z">
        <w:r w:rsidR="00BC228F">
          <w:t>.</w:t>
        </w:r>
      </w:ins>
      <w:ins w:id="40" w:author="Microsoft Office User" w:date="2020-07-29T11:43:00Z">
        <w:r w:rsidR="00350123">
          <w:t xml:space="preserve"> </w:t>
        </w:r>
      </w:ins>
      <w:ins w:id="41" w:author="Microsoft Office User" w:date="2020-07-29T11:40:00Z">
        <w:r w:rsidR="00BC228F" w:rsidRPr="009A2357">
          <w:t xml:space="preserve">For comparison, </w:t>
        </w:r>
      </w:ins>
      <w:ins w:id="42" w:author="Microsoft Office User" w:date="2020-07-29T11:43:00Z">
        <w:r w:rsidR="00350123">
          <w:t>we fit the same model</w:t>
        </w:r>
      </w:ins>
      <w:ins w:id="43" w:author="Microsoft Office User" w:date="2020-07-29T11:40:00Z">
        <w:r w:rsidR="00BC228F" w:rsidRPr="009A2357">
          <w:t xml:space="preserve"> using the fitContinuous function in the R package Geiger v2.0.6.4 </w:t>
        </w:r>
        <w:r w:rsidR="00BC228F" w:rsidRPr="009A2357">
          <w:fldChar w:fldCharType="begin"/>
        </w:r>
      </w:ins>
      <w:r w:rsidR="008D249A">
        <w:instrText xml:space="preserve"> ADDIN EN.CITE &lt;EndNote&gt;&lt;Cite&gt;&lt;Author&gt;Harmon&lt;/Author&gt;&lt;Year&gt;2008&lt;/Year&gt;&lt;RecNum&gt;321&lt;/RecNum&gt;&lt;DisplayText&gt;&lt;style size="10"&gt;[43]&lt;/style&gt;&lt;/DisplayText&gt;&lt;record&gt;&lt;rec-number&gt;321&lt;/rec-number&gt;&lt;foreign-keys&gt;&lt;key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ins w:id="44" w:author="Microsoft Office User" w:date="2020-07-29T11:40:00Z">
        <w:r w:rsidR="00BC228F" w:rsidRPr="009A2357">
          <w:fldChar w:fldCharType="separate"/>
        </w:r>
      </w:ins>
      <w:r w:rsidR="008D249A">
        <w:rPr>
          <w:noProof/>
        </w:rPr>
        <w:t>[43]</w:t>
      </w:r>
      <w:ins w:id="45" w:author="Microsoft Office User" w:date="2020-07-29T11:40:00Z">
        <w:r w:rsidR="00BC228F" w:rsidRPr="009A2357">
          <w:fldChar w:fldCharType="end"/>
        </w:r>
        <w:r w:rsidR="00BC228F" w:rsidRPr="009A2357">
          <w:t>. Rate estimates between these two approaches were qualitatively identical.</w:t>
        </w:r>
      </w:ins>
    </w:p>
    <w:p w:rsidR="009A2357" w:rsidRPr="009A2357" w:rsidRDefault="009A2357" w:rsidP="009A2357">
      <w:pPr>
        <w:pStyle w:val="MDPI31text"/>
      </w:pPr>
      <w:r w:rsidRPr="009A2357">
        <w:t xml:space="preserve">First, we fit a model where we assumed a single rate of microsatellite evolution across the entire phylogeny. Next, we estimated rates individually for each order that had at least 10 species in our dataset (for both of these analyses we fit our model based on microsatellite bp per Mbp. Finally, we calculated tip rates. </w:t>
      </w:r>
      <w:ins w:id="46" w:author="Microsoft Office User" w:date="2020-07-29T11:46:00Z">
        <w:r w:rsidR="00350123">
          <w:t xml:space="preserve">Using </w:t>
        </w:r>
      </w:ins>
      <w:ins w:id="47" w:author="Microsoft Office User" w:date="2020-07-29T11:47:00Z">
        <w:r w:rsidR="00350123">
          <w:t>the ancestral state estimates from our combined analysis of all data, tip</w:t>
        </w:r>
      </w:ins>
      <w:del w:id="48" w:author="Microsoft Office User" w:date="2020-07-29T11:47:00Z">
        <w:r w:rsidRPr="009A2357" w:rsidDel="00350123">
          <w:delText>Tip</w:delText>
        </w:r>
      </w:del>
      <w:r w:rsidRPr="009A2357">
        <w:t xml:space="preserve"> </w:t>
      </w:r>
      <w:r w:rsidRPr="009A2357">
        <w:lastRenderedPageBreak/>
        <w:t xml:space="preserve">rates were estimated by taking the difference in microsatellite content of a species and the ancestral state estimate for the node from which it descends. This value represents the change since the last speciation event sampled on our phylogeny (this was calculated based on the total bp of microsatellites estimated for each tip in the tree). This value was then divided by the branch length since that speciation event providing an estimate for the recent rate of evolution in a species lineage. </w:t>
      </w:r>
    </w:p>
    <w:p w:rsidR="009A2357" w:rsidRPr="009A2357" w:rsidRDefault="009A2357" w:rsidP="009A2357">
      <w:pPr>
        <w:pStyle w:val="MDPI31text"/>
      </w:pPr>
      <w:r w:rsidRPr="009A2357">
        <w:rPr>
          <w:bCs/>
          <w:i/>
          <w:iCs/>
        </w:rPr>
        <w:t>The impact of centromere type on microsatellite content and evolution:</w:t>
      </w:r>
      <w:r w:rsidRPr="009A2357">
        <w:t xml:space="preserve"> We first tested whether species with holocentric and monocentric chromosomes have significantly different microsatellite content. We analyzed the quantity of each microsatellite size class (2-6mer), total microsatellite content, and microsatellite content per Mbp using a phylogenetic ANOVA implemented in Geiger </w:t>
      </w:r>
      <w:r w:rsidRPr="009A2357">
        <w:fldChar w:fldCharType="begin"/>
      </w:r>
      <w:r w:rsidR="008D249A">
        <w:instrText xml:space="preserve"> ADDIN EN.CITE &lt;EndNote&gt;&lt;Cite&gt;&lt;Author&gt;Harmon&lt;/Author&gt;&lt;Year&gt;2008&lt;/Year&gt;&lt;RecNum&gt;321&lt;/RecNum&gt;&lt;DisplayText&gt;&lt;style size="10"&gt;[43]&lt;/style&gt;&lt;/DisplayText&gt;&lt;record&gt;&lt;rec-number&gt;321&lt;/rec-number&gt;&lt;foreign-keys&gt;&lt;key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Pr="009A2357">
        <w:fldChar w:fldCharType="separate"/>
      </w:r>
      <w:r w:rsidR="008D249A">
        <w:rPr>
          <w:noProof/>
        </w:rPr>
        <w:t>[43]</w:t>
      </w:r>
      <w:r w:rsidRPr="009A2357">
        <w:fldChar w:fldCharType="end"/>
      </w:r>
      <w:r w:rsidRPr="009A2357">
        <w:t>. The phylogenetic ANOVA was repeated for each tree from the posterior distribution. To calculate p-values the observed F-statistic was compared to a null distribution generated from 100 simulations.</w:t>
      </w:r>
    </w:p>
    <w:p w:rsidR="009A2357" w:rsidRDefault="009A2357" w:rsidP="009A2357">
      <w:pPr>
        <w:pStyle w:val="MDPI31text"/>
      </w:pPr>
      <w:r w:rsidRPr="009A2357">
        <w:t xml:space="preserve">In addition to differences in microsatellite content, type of centromere may also affect the rate at which microsatellite content evolves. We tested for a difference in the rate of microsatellite evolution in species with holocentric and monocentric chromosomes using a censored rate test implemented in the brownieREML function in phytools v0.6-99 </w:t>
      </w:r>
      <w:r w:rsidRPr="009A2357">
        <w:fldChar w:fldCharType="begin"/>
      </w:r>
      <w:r w:rsidR="008D249A">
        <w:instrText xml:space="preserve"> ADDIN EN.CITE &lt;EndNote&gt;&lt;Cite&gt;&lt;Author&gt;Revell&lt;/Author&gt;&lt;Year&gt;2012&lt;/Year&gt;&lt;RecNum&gt;324&lt;/RecNum&gt;&lt;DisplayText&gt;&lt;style size="10"&gt;[44]&lt;/style&gt;&lt;/DisplayText&gt;&lt;record&gt;&lt;rec-number&gt;324&lt;/rec-number&gt;&lt;foreign-keys&gt;&lt;key app="EN" db-id="psx5aavda22efleatx5vaweatapzwapastxd" timestamp="1584593353" guid="cb370c8d-a9e7-4eac-a747-cb647822f261"&gt;324&lt;/key&gt;&lt;/foreign-keys&gt;&lt;ref-type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Pr="009A2357">
        <w:fldChar w:fldCharType="separate"/>
      </w:r>
      <w:r w:rsidR="008D249A">
        <w:rPr>
          <w:noProof/>
        </w:rPr>
        <w:t>[44]</w:t>
      </w:r>
      <w:r w:rsidRPr="009A2357">
        <w:fldChar w:fldCharType="end"/>
      </w:r>
      <w:r w:rsidRPr="009A2357">
        <w:t xml:space="preserve">. This allows us to compare models where the continuous trait (microsatellite content) evolves at a single rate on all branches to a model where each state has independent rates of evolution (O’Meara et al. 2006). We used the function make.simmap in phytools to generate the stochastic maps (holocentric vs monocentric states) that are used in brownieREML </w:t>
      </w:r>
      <w:r w:rsidRPr="009A2357">
        <w:fldChar w:fldCharType="begin"/>
      </w:r>
      <w:r w:rsidR="008D249A">
        <w:instrText xml:space="preserve"> ADDIN EN.CITE &lt;EndNote&gt;&lt;Cite&gt;&lt;Author&gt;Revell&lt;/Author&gt;&lt;Year&gt;2012&lt;/Year&gt;&lt;RecNum&gt;324&lt;/RecNum&gt;&lt;DisplayText&gt;&lt;style size="10"&gt;[44]&lt;/style&gt;&lt;/DisplayText&gt;&lt;record&gt;&lt;rec-number&gt;324&lt;/rec-number&gt;&lt;foreign-keys&gt;&lt;key app="EN" db-id="psx5aavda22efleatx5vaweatapzwapastxd" timestamp="1584593353" guid="cb370c8d-a9e7-4eac-a747-cb647822f261"&gt;324&lt;/key&gt;&lt;/foreign-keys&gt;&lt;ref-type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Pr="009A2357">
        <w:fldChar w:fldCharType="separate"/>
      </w:r>
      <w:r w:rsidR="008D249A">
        <w:rPr>
          <w:noProof/>
        </w:rPr>
        <w:t>[44]</w:t>
      </w:r>
      <w:r w:rsidRPr="009A2357">
        <w:fldChar w:fldCharType="end"/>
      </w:r>
      <w:r w:rsidRPr="009A2357">
        <w:t xml:space="preserve">. In construction of the stochastic map, we used a Markov model and allowed rates of transition between holocentric and monocentric to differ. To account for uncertainty in ancestral states, we repeated our analysis across 100 stochastic maps. </w:t>
      </w:r>
    </w:p>
    <w:p w:rsidR="009A2357" w:rsidRPr="009A2357" w:rsidRDefault="009A2357" w:rsidP="009A2357">
      <w:pPr>
        <w:pStyle w:val="MDPI31text"/>
      </w:pPr>
      <w:r w:rsidRPr="009A2357">
        <w:rPr>
          <w:bCs/>
          <w:i/>
          <w:iCs/>
        </w:rPr>
        <w:t>Comparing rates and content to chromosome number and genome size:</w:t>
      </w:r>
      <w:r w:rsidRPr="009A2357">
        <w:rPr>
          <w:b/>
        </w:rPr>
        <w:t xml:space="preserve"> </w:t>
      </w:r>
      <w:r w:rsidRPr="009A2357">
        <w:rPr>
          <w:bCs/>
        </w:rPr>
        <w:t>We hypothesized that if microsatellites are common in structural elements of chromosomes then those species with more chromosome</w:t>
      </w:r>
      <w:ins w:id="49" w:author="Microsoft Office User" w:date="2020-07-23T23:03:00Z">
        <w:r w:rsidR="00821415">
          <w:rPr>
            <w:bCs/>
          </w:rPr>
          <w:t>s</w:t>
        </w:r>
      </w:ins>
      <w:r w:rsidRPr="009A2357">
        <w:rPr>
          <w:bCs/>
        </w:rPr>
        <w:t xml:space="preserve"> would be expected to have greater microsatellite content.</w:t>
      </w:r>
      <w:r w:rsidRPr="009A2357">
        <w:rPr>
          <w:bCs/>
          <w:u w:val="words"/>
        </w:rPr>
        <w:t xml:space="preserve"> </w:t>
      </w:r>
      <w:r w:rsidRPr="009A2357">
        <w:t xml:space="preserve">We analyzed the data using a phylogenetic linear model where microsatellite content in bp of microsatellite content/Mbp of genome was the response variable and chromosome number was the predictor variable. We also fit a phylogenetic linear model where the tip rate as described above was the response variable and chromosome number was the predictor variable. Both of these models were fit using the function phylolm in the R package phylolm v2.6 and used all 100 posterior distribution trees with 100 bootstraps for each tree </w:t>
      </w:r>
      <w:r w:rsidRPr="009A2357">
        <w:fldChar w:fldCharType="begin"/>
      </w:r>
      <w:r w:rsidR="008D249A">
        <w:instrText xml:space="preserve"> ADDIN EN.CITE &lt;EndNote&gt;&lt;Cite&gt;&lt;Author&gt;Ho&lt;/Author&gt;&lt;Year&gt;2018&lt;/Year&gt;&lt;RecNum&gt;325&lt;/RecNum&gt;&lt;DisplayText&gt;&lt;style size="10"&gt;[45]&lt;/style&gt;&lt;/DisplayText&gt;&lt;record&gt;&lt;rec-number&gt;325&lt;/rec-number&gt;&lt;foreign-keys&gt;&lt;key app="EN" db-id="psx5aavda22efleatx5vaweatapzwapastxd" timestamp="1584593712" guid="8239bb8d-e6e3-4365-baa3-3ff6e5299717"&gt;325&lt;/key&gt;&lt;/foreign-keys&gt;&lt;ref-type name="Generic"&gt;13&lt;/ref-type&gt;&lt;contributors&gt;&lt;authors&gt;&lt;author&gt;Ho, Lam Si Tung&lt;/author&gt;&lt;author&gt;Ane, Cecile&lt;/author&gt;&lt;author&gt;Lachlan, Robert&lt;/author&gt;&lt;author&gt;Tarpinian, Kelsey&lt;/author&gt;&lt;author&gt;Feldman, Rachel&lt;/author&gt;&lt;author&gt;Yu, Qing&lt;/author&gt;&lt;author&gt;van der Bijl, Wouter&lt;/author&gt;&lt;author&gt;Ho, Maintainer Lam Si Tung&lt;/author&gt;&lt;/authors&gt;&lt;/contributors&gt;&lt;titles&gt;&lt;title&gt;Package ‘phylolm’&lt;/title&gt;&lt;/titles&gt;&lt;dates&gt;&lt;year&gt;2018&lt;/year&gt;&lt;/dates&gt;&lt;urls&gt;&lt;/urls&gt;&lt;/record&gt;&lt;/Cite&gt;&lt;/EndNote&gt;</w:instrText>
      </w:r>
      <w:r w:rsidRPr="009A2357">
        <w:fldChar w:fldCharType="separate"/>
      </w:r>
      <w:r w:rsidR="008D249A">
        <w:rPr>
          <w:noProof/>
        </w:rPr>
        <w:t>[45]</w:t>
      </w:r>
      <w:r w:rsidRPr="009A2357">
        <w:fldChar w:fldCharType="end"/>
      </w:r>
      <w:r w:rsidRPr="009A2357">
        <w:t xml:space="preserve">. </w:t>
      </w:r>
    </w:p>
    <w:p w:rsidR="006E06CC" w:rsidRPr="00564337" w:rsidRDefault="009A2357" w:rsidP="00564337">
      <w:pPr>
        <w:pStyle w:val="MDPI31text"/>
        <w:rPr>
          <w:b/>
        </w:rPr>
      </w:pPr>
      <w:r w:rsidRPr="009A2357">
        <w:t xml:space="preserve">We also assessed genome size as a predictor of microsatellite evolution. For this analysis, we used genome size in Mbp. We analyzed the data using a phylogenetic linear model where microsatellite content in Mbp was the response variable and genome size was the predictor variable. This analysis used the 100 posterior distribution trees with 100 bootstraps for each tree. We also fit a phylogenetic linear model where the tip rate as described above was the response variable and genome size as the predictor variable. Again, this analysis used the 100 posterior distribution trees with 100 bootstraps for each tree. Both of these models were fit using the function phylolm in the R package phylolm. </w:t>
      </w:r>
      <w:r w:rsidRPr="009A2357">
        <w:fldChar w:fldCharType="begin"/>
      </w:r>
      <w:r w:rsidR="008D249A">
        <w:instrText xml:space="preserve"> ADDIN EN.CITE &lt;EndNote&gt;&lt;Cite&gt;&lt;Author&gt;Ho&lt;/Author&gt;&lt;Year&gt;2018&lt;/Year&gt;&lt;RecNum&gt;325&lt;/RecNum&gt;&lt;DisplayText&gt;&lt;style size="10"&gt;[45]&lt;/style&gt;&lt;/DisplayText&gt;&lt;record&gt;&lt;rec-number&gt;325&lt;/rec-number&gt;&lt;foreign-keys&gt;&lt;key app="EN" db-id="psx5aavda22efleatx5vaweatapzwapastxd" timestamp="1584593712" guid="8239bb8d-e6e3-4365-baa3-3ff6e5299717"&gt;325&lt;/key&gt;&lt;/foreign-keys&gt;&lt;ref-type name="Generic"&gt;13&lt;/ref-type&gt;&lt;contributors&gt;&lt;authors&gt;&lt;author&gt;Ho, Lam Si Tung&lt;/author&gt;&lt;author&gt;Ane, Cecile&lt;/author&gt;&lt;author&gt;Lachlan, Robert&lt;/author&gt;&lt;author&gt;Tarpinian, Kelsey&lt;/author&gt;&lt;author&gt;Feldman, Rachel&lt;/author&gt;&lt;author&gt;Yu, Qing&lt;/author&gt;&lt;author&gt;van der Bijl, Wouter&lt;/author&gt;&lt;author&gt;Ho, Maintainer Lam Si Tung&lt;/author&gt;&lt;/authors&gt;&lt;/contributors&gt;&lt;titles&gt;&lt;title&gt;Package ‘phylolm’&lt;/title&gt;&lt;/titles&gt;&lt;dates&gt;&lt;year&gt;2018&lt;/year&gt;&lt;/dates&gt;&lt;urls&gt;&lt;/urls&gt;&lt;/record&gt;&lt;/Cite&gt;&lt;/EndNote&gt;</w:instrText>
      </w:r>
      <w:r w:rsidRPr="009A2357">
        <w:fldChar w:fldCharType="separate"/>
      </w:r>
      <w:r w:rsidR="008D249A">
        <w:rPr>
          <w:noProof/>
        </w:rPr>
        <w:t>[45]</w:t>
      </w:r>
      <w:r w:rsidRPr="009A2357">
        <w:fldChar w:fldCharType="end"/>
      </w:r>
      <w:r w:rsidRPr="009A2357">
        <w:t xml:space="preserve">. All analyses were completed in R version 3.6.3 </w:t>
      </w:r>
      <w:r w:rsidRPr="009A2357">
        <w:fldChar w:fldCharType="begin"/>
      </w:r>
      <w:r w:rsidR="008D249A">
        <w:instrText xml:space="preserve"> ADDIN EN.CITE &lt;EndNote&gt;&lt;Cite&gt;&lt;Author&gt;R Core Team&lt;/Author&gt;&lt;Year&gt;2019&lt;/Year&gt;&lt;RecNum&gt;449&lt;/RecNum&gt;&lt;DisplayText&gt;&lt;style size="10"&gt;[46]&lt;/style&gt;&lt;/DisplayText&gt;&lt;record&gt;&lt;rec-number&gt;449&lt;/rec-number&gt;&lt;foreign-keys&gt;&lt;key app="EN" db-id="psx5aavda22efleatx5vaweatapzwapastxd" timestamp="1593490725" guid="1562db1e-9f99-46f1-9c11-d822a73ab53e"&gt;449&lt;/key&gt;&lt;/foreign-keys&gt;&lt;ref-type name="Computer Program"&gt;9&lt;/ref-type&gt;&lt;contributors&gt;&lt;authors&gt;&lt;author&gt;R Core Team,&lt;/author&gt;&lt;/authors&gt;&lt;/contributors&gt;&lt;titles&gt;&lt;title&gt;R: A Language and Environment for Statistical Computing&lt;/title&gt;&lt;/titles&gt;&lt;dates&gt;&lt;year&gt;2019&lt;/year&gt;&lt;/dates&gt;&lt;pub-location&gt;Vienna, Austria&lt;/pub-location&gt;&lt;publisher&gt;R Foundation for Statistical Computing &lt;/publisher&gt;&lt;urls&gt;&lt;related-urls&gt;&lt;url&gt;https://www.R-project.org/&lt;/url&gt;&lt;/related-urls&gt;&lt;/urls&gt;&lt;/record&gt;&lt;/Cite&gt;&lt;/EndNote&gt;</w:instrText>
      </w:r>
      <w:r w:rsidRPr="009A2357">
        <w:fldChar w:fldCharType="separate"/>
      </w:r>
      <w:r w:rsidR="008D249A">
        <w:rPr>
          <w:noProof/>
        </w:rPr>
        <w:t>[46]</w:t>
      </w:r>
      <w:r w:rsidRPr="009A2357">
        <w:fldChar w:fldCharType="end"/>
      </w:r>
      <w:r w:rsidRPr="009A2357">
        <w:t>. All tests were considered significant at α = 0.05. All data and code necessary for our analyses are available on Dryad (available upon acceptance).</w:t>
      </w:r>
      <w:r w:rsidR="006E06CC" w:rsidRPr="00FD768E">
        <w:rPr>
          <w:spacing w:val="-2"/>
        </w:rPr>
        <w:t xml:space="preserve"> </w:t>
      </w:r>
    </w:p>
    <w:p w:rsidR="006E06CC" w:rsidRPr="00A1535E" w:rsidRDefault="006E06CC" w:rsidP="006E06CC">
      <w:pPr>
        <w:pStyle w:val="MDPI21heading1"/>
      </w:pPr>
      <w:r w:rsidRPr="00A1535E">
        <w:t>3. Results</w:t>
      </w:r>
    </w:p>
    <w:p w:rsidR="00564337" w:rsidRPr="00564337" w:rsidRDefault="009A2357" w:rsidP="00A1535E">
      <w:pPr>
        <w:spacing w:line="260" w:lineRule="atLeast"/>
        <w:rPr>
          <w:rFonts w:ascii="Palatino Linotype" w:hAnsi="Palatino Linotype" w:cs="Calibri"/>
          <w:bCs/>
          <w:i/>
          <w:iCs/>
          <w:sz w:val="20"/>
        </w:rPr>
      </w:pPr>
      <w:r w:rsidRPr="00A1535E">
        <w:rPr>
          <w:rFonts w:ascii="Palatino Linotype" w:hAnsi="Palatino Linotype" w:cs="Calibri"/>
          <w:bCs/>
          <w:i/>
          <w:iCs/>
          <w:sz w:val="20"/>
        </w:rPr>
        <w:t>3.1 Data quality and collection</w:t>
      </w:r>
    </w:p>
    <w:p w:rsidR="00564337" w:rsidRDefault="009A2357" w:rsidP="00A1535E">
      <w:pPr>
        <w:spacing w:line="260" w:lineRule="atLeast"/>
        <w:rPr>
          <w:ins w:id="50" w:author="Microsoft Office User" w:date="2020-07-29T09:16:00Z"/>
          <w:rFonts w:ascii="Palatino Linotype" w:hAnsi="Palatino Linotype" w:cs="Calibri"/>
          <w:sz w:val="20"/>
        </w:rPr>
      </w:pPr>
      <w:r w:rsidRPr="00A1535E">
        <w:rPr>
          <w:rFonts w:ascii="Palatino Linotype" w:hAnsi="Palatino Linotype" w:cs="Calibri"/>
          <w:iCs/>
          <w:sz w:val="20"/>
        </w:rPr>
        <w:t>3.1.1 Assembly Quality:</w:t>
      </w:r>
      <w:r w:rsidRPr="00A1535E">
        <w:rPr>
          <w:rFonts w:ascii="Palatino Linotype" w:hAnsi="Palatino Linotype" w:cs="Calibri"/>
          <w:sz w:val="20"/>
        </w:rPr>
        <w:t xml:space="preserve"> First, repetitive sequences were reanalyzed from a prior study with 71 vertebrates to determine the effect of sequencing platform (short, Sanger, and long) on microsatellite inference. We hypothesized that shorter sequencing may not be able to fully span repetitive regions generating a pattern of estimates of lower microsatellite content in genomes assembled from short read sequencing platforms. However, we found no significant difference in microsatellite content among genomes assembled with these three classes of platforms (Supplemental Figure 2). We also investigated the impact of N50 for both contigs and scaffolds on estimated microsatellite content. </w:t>
      </w:r>
      <w:r w:rsidRPr="00A1535E">
        <w:rPr>
          <w:rFonts w:ascii="Palatino Linotype" w:hAnsi="Palatino Linotype" w:cs="Calibri"/>
          <w:sz w:val="20"/>
        </w:rPr>
        <w:lastRenderedPageBreak/>
        <w:t>Using a linear model, we found no significant effect of either of these measures on microsatellite content (p-value for N50 contig = 0.70 and p-value for N50 scaffold = 0.18). Finally, we fit a linear model where microsatellite content was the response variable and genome size was the predictor variable and found no significance between them (p-value = 0.24; Supplemental Figure 3). These results suggest no strong biases in estimates of microsatellite content among these vertebrate genomes. While this suggests that it may be acceptable to use existing genome assemblies for comparative analyses, we feared that some</w:t>
      </w:r>
      <w:ins w:id="51" w:author="Microsoft Office User" w:date="2020-07-30T09:29:00Z">
        <w:r w:rsidR="00930994">
          <w:rPr>
            <w:rFonts w:ascii="Palatino Linotype" w:hAnsi="Palatino Linotype" w:cs="Calibri"/>
            <w:sz w:val="20"/>
          </w:rPr>
          <w:t xml:space="preserve"> of the 30</w:t>
        </w:r>
      </w:ins>
      <w:ins w:id="52" w:author="Microsoft Office User" w:date="2020-07-30T09:41:00Z">
        <w:r w:rsidR="001F101E">
          <w:rPr>
            <w:rFonts w:ascii="Palatino Linotype" w:hAnsi="Palatino Linotype" w:cs="Calibri"/>
            <w:sz w:val="20"/>
          </w:rPr>
          <w:t>4</w:t>
        </w:r>
      </w:ins>
      <w:r w:rsidRPr="00A1535E">
        <w:rPr>
          <w:rFonts w:ascii="Palatino Linotype" w:hAnsi="Palatino Linotype" w:cs="Calibri"/>
          <w:sz w:val="20"/>
        </w:rPr>
        <w:t xml:space="preserve"> insect genomes </w:t>
      </w:r>
      <w:ins w:id="53" w:author="Microsoft Office User" w:date="2020-07-30T09:29:00Z">
        <w:r w:rsidR="00930994">
          <w:rPr>
            <w:rFonts w:ascii="Palatino Linotype" w:hAnsi="Palatino Linotype" w:cs="Calibri"/>
            <w:sz w:val="20"/>
          </w:rPr>
          <w:t xml:space="preserve">we downloaded </w:t>
        </w:r>
      </w:ins>
      <w:r w:rsidRPr="00A1535E">
        <w:rPr>
          <w:rFonts w:ascii="Palatino Linotype" w:hAnsi="Palatino Linotype" w:cs="Calibri"/>
          <w:sz w:val="20"/>
        </w:rPr>
        <w:t>may be more poorly assembled than the vertebrate genomes we examined. For this reason, we investigated the relationship between BUSCO scores and estimated microsatellites content. We found an unexpected pattern where some genomes with very low BUSCO scores (e.g. less than 0.05) had the highest microsatellite content</w:t>
      </w:r>
      <w:ins w:id="54" w:author="Microsoft Office User" w:date="2020-07-30T09:48:00Z">
        <w:r w:rsidR="00897141">
          <w:rPr>
            <w:rFonts w:ascii="Palatino Linotype" w:hAnsi="Palatino Linotype" w:cs="Calibri"/>
            <w:sz w:val="20"/>
          </w:rPr>
          <w:t xml:space="preserve"> </w:t>
        </w:r>
        <w:r w:rsidR="00897141" w:rsidRPr="00A1535E">
          <w:rPr>
            <w:rFonts w:ascii="Palatino Linotype" w:hAnsi="Palatino Linotype" w:cs="Calibri"/>
            <w:sz w:val="20"/>
          </w:rPr>
          <w:t>(Supplemental Figure 4)</w:t>
        </w:r>
      </w:ins>
      <w:r w:rsidRPr="00A1535E">
        <w:rPr>
          <w:rFonts w:ascii="Palatino Linotype" w:hAnsi="Palatino Linotype" w:cs="Calibri"/>
          <w:sz w:val="20"/>
        </w:rPr>
        <w:t>. These low scoring genome assemblies also exhibited both some of the smallest and largest genome assemblies in our collection of genomes.</w:t>
      </w:r>
      <w:ins w:id="55" w:author="Microsoft Office User" w:date="2020-07-30T09:46:00Z">
        <w:r w:rsidR="00897141">
          <w:rPr>
            <w:rFonts w:ascii="Palatino Linotype" w:hAnsi="Palatino Linotype" w:cs="Calibri"/>
            <w:sz w:val="20"/>
          </w:rPr>
          <w:t xml:space="preserve"> Genomes with BUSCO scores greater than 0.1 do not appear to have any </w:t>
        </w:r>
      </w:ins>
      <w:ins w:id="56" w:author="Microsoft Office User" w:date="2020-07-30T09:48:00Z">
        <w:r w:rsidR="00897141">
          <w:rPr>
            <w:rFonts w:ascii="Palatino Linotype" w:hAnsi="Palatino Linotype" w:cs="Calibri"/>
            <w:sz w:val="20"/>
          </w:rPr>
          <w:t>consistent</w:t>
        </w:r>
      </w:ins>
      <w:ins w:id="57" w:author="Microsoft Office User" w:date="2020-07-30T09:46:00Z">
        <w:r w:rsidR="00897141">
          <w:rPr>
            <w:rFonts w:ascii="Palatino Linotype" w:hAnsi="Palatino Linotype" w:cs="Calibri"/>
            <w:sz w:val="20"/>
          </w:rPr>
          <w:t xml:space="preserve"> bias in </w:t>
        </w:r>
      </w:ins>
      <w:ins w:id="58" w:author="Microsoft Office User" w:date="2020-07-30T09:47:00Z">
        <w:r w:rsidR="00897141">
          <w:rPr>
            <w:rFonts w:ascii="Palatino Linotype" w:hAnsi="Palatino Linotype" w:cs="Calibri"/>
            <w:sz w:val="20"/>
          </w:rPr>
          <w:t xml:space="preserve">microsatellite content; however, we chose to </w:t>
        </w:r>
      </w:ins>
      <w:ins w:id="59" w:author="Microsoft Office User" w:date="2020-07-30T09:48:00Z">
        <w:r w:rsidR="00897141">
          <w:rPr>
            <w:rFonts w:ascii="Palatino Linotype" w:hAnsi="Palatino Linotype" w:cs="Calibri"/>
            <w:sz w:val="20"/>
          </w:rPr>
          <w:t>conservati</w:t>
        </w:r>
      </w:ins>
      <w:ins w:id="60" w:author="Microsoft Office User" w:date="2020-07-30T09:49:00Z">
        <w:r w:rsidR="00897141">
          <w:rPr>
            <w:rFonts w:ascii="Palatino Linotype" w:hAnsi="Palatino Linotype" w:cs="Calibri"/>
            <w:sz w:val="20"/>
          </w:rPr>
          <w:t>vel</w:t>
        </w:r>
      </w:ins>
      <w:ins w:id="61" w:author="Microsoft Office User" w:date="2020-07-30T09:48:00Z">
        <w:r w:rsidR="00897141">
          <w:rPr>
            <w:rFonts w:ascii="Palatino Linotype" w:hAnsi="Palatino Linotype" w:cs="Calibri"/>
            <w:sz w:val="20"/>
          </w:rPr>
          <w:t>y</w:t>
        </w:r>
      </w:ins>
      <w:ins w:id="62" w:author="Microsoft Office User" w:date="2020-07-30T09:47:00Z">
        <w:r w:rsidR="00897141">
          <w:rPr>
            <w:rFonts w:ascii="Palatino Linotype" w:hAnsi="Palatino Linotype" w:cs="Calibri"/>
            <w:sz w:val="20"/>
          </w:rPr>
          <w:t xml:space="preserve"> retain only those genomes with BUSCO scores of at least 0.90 reasoning that these genomes were most likely </w:t>
        </w:r>
      </w:ins>
      <w:ins w:id="63" w:author="Microsoft Office User" w:date="2020-07-30T09:48:00Z">
        <w:r w:rsidR="00897141">
          <w:rPr>
            <w:rFonts w:ascii="Palatino Linotype" w:hAnsi="Palatino Linotype" w:cs="Calibri"/>
            <w:sz w:val="20"/>
          </w:rPr>
          <w:t>the most well assembled in our dataset.</w:t>
        </w:r>
      </w:ins>
      <w:del w:id="64" w:author="Microsoft Office User" w:date="2020-07-30T09:46:00Z">
        <w:r w:rsidRPr="00A1535E" w:rsidDel="00897141">
          <w:rPr>
            <w:rFonts w:ascii="Palatino Linotype" w:hAnsi="Palatino Linotype" w:cs="Calibri"/>
            <w:sz w:val="20"/>
          </w:rPr>
          <w:delText xml:space="preserve"> </w:delText>
        </w:r>
      </w:del>
      <w:del w:id="65" w:author="Microsoft Office User" w:date="2020-07-30T09:49:00Z">
        <w:r w:rsidRPr="00A1535E" w:rsidDel="00897141">
          <w:rPr>
            <w:rFonts w:ascii="Palatino Linotype" w:hAnsi="Palatino Linotype" w:cs="Calibri"/>
            <w:sz w:val="20"/>
          </w:rPr>
          <w:delText xml:space="preserve">Because of these peculiarities and because we have such a large number of genomes </w:delText>
        </w:r>
        <w:r w:rsidR="001F101E" w:rsidRPr="00A1535E" w:rsidDel="00897141">
          <w:rPr>
            <w:rFonts w:ascii="Palatino Linotype" w:hAnsi="Palatino Linotype" w:cs="Calibri"/>
            <w:sz w:val="20"/>
          </w:rPr>
          <w:delText>available,</w:delText>
        </w:r>
        <w:r w:rsidRPr="00A1535E" w:rsidDel="00897141">
          <w:rPr>
            <w:rFonts w:ascii="Palatino Linotype" w:hAnsi="Palatino Linotype" w:cs="Calibri"/>
            <w:sz w:val="20"/>
          </w:rPr>
          <w:delText xml:space="preserve"> we chose to conservatively base all downstream analyses only on those genomes with a BUSCO score of 0.90 or higher</w:delText>
        </w:r>
      </w:del>
      <w:del w:id="66" w:author="Microsoft Office User" w:date="2020-07-30T09:48:00Z">
        <w:r w:rsidRPr="00A1535E" w:rsidDel="00897141">
          <w:rPr>
            <w:rFonts w:ascii="Palatino Linotype" w:hAnsi="Palatino Linotype" w:cs="Calibri"/>
            <w:sz w:val="20"/>
          </w:rPr>
          <w:delText xml:space="preserve"> (Supplemental Figure 4)</w:delText>
        </w:r>
      </w:del>
      <w:del w:id="67" w:author="Microsoft Office User" w:date="2020-07-30T09:49:00Z">
        <w:r w:rsidRPr="00A1535E" w:rsidDel="00897141">
          <w:rPr>
            <w:rFonts w:ascii="Palatino Linotype" w:hAnsi="Palatino Linotype" w:cs="Calibri"/>
            <w:sz w:val="20"/>
          </w:rPr>
          <w:delText xml:space="preserve">. </w:delText>
        </w:r>
      </w:del>
      <w:ins w:id="68" w:author="Microsoft Office User" w:date="2020-07-30T09:49:00Z">
        <w:r w:rsidR="00897141">
          <w:rPr>
            <w:rFonts w:ascii="Palatino Linotype" w:hAnsi="Palatino Linotype" w:cs="Calibri"/>
            <w:sz w:val="20"/>
          </w:rPr>
          <w:t xml:space="preserve"> </w:t>
        </w:r>
      </w:ins>
      <w:r w:rsidRPr="00A1535E">
        <w:rPr>
          <w:rFonts w:ascii="Palatino Linotype" w:hAnsi="Palatino Linotype" w:cs="Calibri"/>
          <w:sz w:val="20"/>
        </w:rPr>
        <w:t xml:space="preserve">Using this threshold, we discarded 83 genomes and all downstream analyses </w:t>
      </w:r>
      <w:del w:id="69" w:author="Microsoft Office User" w:date="2020-07-30T09:50:00Z">
        <w:r w:rsidRPr="00A1535E" w:rsidDel="00897141">
          <w:rPr>
            <w:rFonts w:ascii="Palatino Linotype" w:hAnsi="Palatino Linotype" w:cs="Calibri"/>
            <w:sz w:val="20"/>
          </w:rPr>
          <w:delText xml:space="preserve">are </w:delText>
        </w:r>
      </w:del>
      <w:ins w:id="70" w:author="Microsoft Office User" w:date="2020-07-30T09:50:00Z">
        <w:r w:rsidR="00897141">
          <w:rPr>
            <w:rFonts w:ascii="Palatino Linotype" w:hAnsi="Palatino Linotype" w:cs="Calibri"/>
            <w:sz w:val="20"/>
          </w:rPr>
          <w:t>we</w:t>
        </w:r>
        <w:r w:rsidR="00897141" w:rsidRPr="00A1535E">
          <w:rPr>
            <w:rFonts w:ascii="Palatino Linotype" w:hAnsi="Palatino Linotype" w:cs="Calibri"/>
            <w:sz w:val="20"/>
          </w:rPr>
          <w:t xml:space="preserve">re </w:t>
        </w:r>
      </w:ins>
      <w:r w:rsidRPr="00A1535E">
        <w:rPr>
          <w:rFonts w:ascii="Palatino Linotype" w:hAnsi="Palatino Linotype" w:cs="Calibri"/>
          <w:sz w:val="20"/>
        </w:rPr>
        <w:t>performed on the remaining 221 genomes. As mentioned above this was further reduced to 201 for all analyses involving our phylogeny due to elevated taxonomic instability scores during tree inference.</w:t>
      </w:r>
    </w:p>
    <w:p w:rsidR="00897141" w:rsidRPr="00897141" w:rsidRDefault="00897141" w:rsidP="00897141">
      <w:pPr>
        <w:pStyle w:val="MDPI31text"/>
        <w:ind w:firstLine="0"/>
        <w:rPr>
          <w:ins w:id="71" w:author="Microsoft Office User" w:date="2020-07-30T09:50:00Z"/>
          <w:rFonts w:cs="Calibri"/>
          <w:szCs w:val="20"/>
        </w:rPr>
      </w:pPr>
    </w:p>
    <w:p w:rsidR="00897141" w:rsidRPr="00897141" w:rsidRDefault="00514348" w:rsidP="00897141">
      <w:pPr>
        <w:spacing w:line="260" w:lineRule="atLeast"/>
        <w:rPr>
          <w:ins w:id="72" w:author="Microsoft Office User" w:date="2020-07-30T09:50:00Z"/>
          <w:rFonts w:ascii="Palatino Linotype" w:hAnsi="Palatino Linotype"/>
          <w:sz w:val="20"/>
        </w:rPr>
      </w:pPr>
      <w:ins w:id="73" w:author="Microsoft Office User" w:date="2020-07-29T09:16:00Z">
        <w:r w:rsidRPr="00897141">
          <w:rPr>
            <w:rFonts w:ascii="Palatino Linotype" w:hAnsi="Palatino Linotype" w:cs="Calibri"/>
            <w:sz w:val="20"/>
          </w:rPr>
          <w:t>3.1.2 Phylogeneti</w:t>
        </w:r>
      </w:ins>
      <w:ins w:id="74" w:author="Microsoft Office User" w:date="2020-07-29T09:17:00Z">
        <w:r w:rsidRPr="00897141">
          <w:rPr>
            <w:rFonts w:ascii="Palatino Linotype" w:hAnsi="Palatino Linotype" w:cs="Calibri"/>
            <w:sz w:val="20"/>
          </w:rPr>
          <w:t xml:space="preserve">c reconstruction: </w:t>
        </w:r>
      </w:ins>
      <w:ins w:id="75" w:author="Microsoft Office User" w:date="2020-07-29T12:05:00Z">
        <w:r w:rsidR="004A2084" w:rsidRPr="00897141">
          <w:rPr>
            <w:rFonts w:ascii="Palatino Linotype" w:hAnsi="Palatino Linotype"/>
            <w:sz w:val="20"/>
          </w:rPr>
          <w:t xml:space="preserve">Both MCMC chains converged on a parameter space with equal likelihood by 100 million generations. The chains were then allowed to run for an additional 100 million generations to ensure neither chain discovered an area of higher likelihood. Convergence was evaluated using Tracer v1.7.1 </w:t>
        </w:r>
        <w:r w:rsidR="004A2084" w:rsidRPr="00897141">
          <w:rPr>
            <w:rFonts w:ascii="Palatino Linotype" w:hAnsi="Palatino Linotype"/>
            <w:sz w:val="20"/>
          </w:rPr>
          <w:fldChar w:fldCharType="begin"/>
        </w:r>
      </w:ins>
      <w:r w:rsidR="008D249A">
        <w:rPr>
          <w:rFonts w:ascii="Palatino Linotype" w:hAnsi="Palatino Linotype"/>
          <w:sz w:val="20"/>
        </w:rPr>
        <w:instrText xml:space="preserve"> ADDIN EN.CITE &lt;EndNote&gt;&lt;Cite&gt;&lt;Author&gt;Rambaut&lt;/Author&gt;&lt;Year&gt;2018&lt;/Year&gt;&lt;RecNum&gt;296&lt;/RecNum&gt;&lt;DisplayText&gt;&lt;style size="10"&gt;[47]&lt;/style&gt;&lt;/DisplayText&gt;&lt;record&gt;&lt;rec-number&gt;296&lt;/rec-number&gt;&lt;foreign-keys&gt;&lt;key app="EN" db-id="psx5aavda22efleatx5vaweatapzwapastxd" timestamp="1582697536" guid="2f8eeb75-0ccb-4f97-8532-d4edae992d5e"&gt;296&lt;/key&gt;&lt;/foreign-keys&gt;&lt;ref-type name="Journal Article"&gt;17&lt;/ref-type&gt;&lt;contributors&gt;&lt;authors&gt;&lt;author&gt;Rambaut, Andrew&lt;/author&gt;&lt;author&gt;Drummond, Alexei J.&lt;/author&gt;&lt;author&gt;Xie, Dong&lt;/author&gt;&lt;author&gt;Baele, Guy&lt;/author&gt;&lt;author&gt;Suchard, Marc A.&lt;/author&gt;&lt;/authors&gt;&lt;/contributors&gt;&lt;titles&gt;&lt;title&gt;Posterior Summarization in Bayesian Phylogenetics Using Tracer 1.7&lt;/title&gt;&lt;secondary-title&gt;Systematic Biology&lt;/secondary-title&gt;&lt;/titles&gt;&lt;periodical&gt;&lt;full-title&gt;Systematic biology&lt;/full-title&gt;&lt;/periodical&gt;&lt;pages&gt;901-904&lt;/pages&gt;&lt;volume&gt;67&lt;/volume&gt;&lt;number&gt;5&lt;/number&gt;&lt;dates&gt;&lt;year&gt;2018&lt;/year&gt;&lt;/dates&gt;&lt;isbn&gt;1063-5157&lt;/isbn&gt;&lt;urls&gt;&lt;related-urls&gt;&lt;url&gt;https://doi.org/10.1093/sysbio/syy032&lt;/url&gt;&lt;/related-urls&gt;&lt;/urls&gt;&lt;electronic-resource-num&gt;10.1093/sysbio/syy032&lt;/electronic-resource-num&gt;&lt;access-date&gt;2/26/2020&lt;/access-date&gt;&lt;/record&gt;&lt;/Cite&gt;&lt;/EndNote&gt;</w:instrText>
      </w:r>
      <w:ins w:id="76" w:author="Microsoft Office User" w:date="2020-07-29T12:05:00Z">
        <w:r w:rsidR="004A2084" w:rsidRPr="00897141">
          <w:rPr>
            <w:rFonts w:ascii="Palatino Linotype" w:hAnsi="Palatino Linotype"/>
            <w:sz w:val="20"/>
          </w:rPr>
          <w:fldChar w:fldCharType="separate"/>
        </w:r>
      </w:ins>
      <w:r w:rsidR="008D249A">
        <w:rPr>
          <w:rFonts w:ascii="Palatino Linotype" w:hAnsi="Palatino Linotype"/>
          <w:noProof/>
          <w:sz w:val="20"/>
        </w:rPr>
        <w:t>[47]</w:t>
      </w:r>
      <w:ins w:id="77" w:author="Microsoft Office User" w:date="2020-07-29T12:05:00Z">
        <w:r w:rsidR="004A2084" w:rsidRPr="00897141">
          <w:rPr>
            <w:rFonts w:ascii="Palatino Linotype" w:hAnsi="Palatino Linotype"/>
            <w:sz w:val="20"/>
          </w:rPr>
          <w:fldChar w:fldCharType="end"/>
        </w:r>
        <w:r w:rsidR="004A2084" w:rsidRPr="00897141">
          <w:rPr>
            <w:rFonts w:ascii="Palatino Linotype" w:hAnsi="Palatino Linotype"/>
            <w:sz w:val="20"/>
          </w:rPr>
          <w:t xml:space="preserve">. The first 75% of each MCMC was discarded as burnin, and 50 trees were randomly sampled from the post-burnin portion of each MCMC. These 100 trees represent our posterior distribution of trees and were used in all downstream analyses. The phylogenies inferred were consistent with a comprehensive order level phylogeny </w:t>
        </w:r>
        <w:r w:rsidR="004A2084" w:rsidRPr="00897141">
          <w:rPr>
            <w:rFonts w:ascii="Palatino Linotype" w:hAnsi="Palatino Linotype"/>
            <w:sz w:val="20"/>
          </w:rPr>
          <w:fldChar w:fldCharType="begin"/>
        </w:r>
      </w:ins>
      <w:r w:rsidR="008D249A">
        <w:rPr>
          <w:rFonts w:ascii="Palatino Linotype" w:hAnsi="Palatino Linotype"/>
          <w:sz w:val="20"/>
        </w:rPr>
        <w:instrText xml:space="preserve"> ADDIN EN.CITE &lt;EndNote&gt;&lt;Cite&gt;&lt;Author&gt;Misof&lt;/Author&gt;&lt;Year&gt;2014&lt;/Year&gt;&lt;RecNum&gt;300&lt;/RecNum&gt;&lt;DisplayText&gt;&lt;style size="10"&gt;[38]&lt;/style&gt;&lt;/DisplayText&gt;&lt;record&gt;&lt;rec-number&gt;300&lt;/rec-number&gt;&lt;foreign-keys&gt;&lt;key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ins w:id="78" w:author="Microsoft Office User" w:date="2020-07-29T12:05:00Z">
        <w:r w:rsidR="004A2084" w:rsidRPr="00897141">
          <w:rPr>
            <w:rFonts w:ascii="Palatino Linotype" w:hAnsi="Palatino Linotype"/>
            <w:sz w:val="20"/>
          </w:rPr>
          <w:fldChar w:fldCharType="separate"/>
        </w:r>
      </w:ins>
      <w:r w:rsidR="008D249A">
        <w:rPr>
          <w:rFonts w:ascii="Palatino Linotype" w:hAnsi="Palatino Linotype"/>
          <w:noProof/>
          <w:sz w:val="20"/>
        </w:rPr>
        <w:t>[38]</w:t>
      </w:r>
      <w:ins w:id="79" w:author="Microsoft Office User" w:date="2020-07-29T12:05:00Z">
        <w:r w:rsidR="004A2084" w:rsidRPr="00897141">
          <w:rPr>
            <w:rFonts w:ascii="Palatino Linotype" w:hAnsi="Palatino Linotype"/>
            <w:sz w:val="20"/>
          </w:rPr>
          <w:fldChar w:fldCharType="end"/>
        </w:r>
        <w:r w:rsidR="004A2084" w:rsidRPr="00897141">
          <w:rPr>
            <w:rFonts w:ascii="Palatino Linotype" w:hAnsi="Palatino Linotype"/>
            <w:sz w:val="20"/>
          </w:rPr>
          <w:t xml:space="preserve">. </w:t>
        </w:r>
      </w:ins>
    </w:p>
    <w:p w:rsidR="00897141" w:rsidRPr="00897141" w:rsidRDefault="00897141" w:rsidP="00897141">
      <w:pPr>
        <w:pStyle w:val="MDPI31text"/>
        <w:ind w:firstLine="0"/>
        <w:rPr>
          <w:ins w:id="80" w:author="Microsoft Office User" w:date="2020-07-30T09:50:00Z"/>
          <w:rFonts w:cs="Calibri"/>
          <w:iCs/>
          <w:szCs w:val="20"/>
        </w:rPr>
      </w:pPr>
    </w:p>
    <w:p w:rsidR="00A1535E" w:rsidRPr="00A1535E" w:rsidRDefault="009A2357" w:rsidP="00897141">
      <w:pPr>
        <w:pStyle w:val="MDPI31text"/>
        <w:ind w:firstLine="0"/>
        <w:rPr>
          <w:rFonts w:cs="Calibri"/>
        </w:rPr>
      </w:pPr>
      <w:r w:rsidRPr="00A1535E">
        <w:rPr>
          <w:rFonts w:cs="Calibri"/>
          <w:iCs/>
        </w:rPr>
        <w:t>3.1.</w:t>
      </w:r>
      <w:ins w:id="81" w:author="Microsoft Office User" w:date="2020-07-29T09:17:00Z">
        <w:r w:rsidR="00514348">
          <w:rPr>
            <w:rFonts w:cs="Calibri"/>
            <w:iCs/>
          </w:rPr>
          <w:t>3</w:t>
        </w:r>
      </w:ins>
      <w:r w:rsidRPr="00A1535E">
        <w:rPr>
          <w:rFonts w:cs="Calibri"/>
          <w:iCs/>
        </w:rPr>
        <w:t xml:space="preserve"> Microsatellite Content and rates</w:t>
      </w:r>
      <w:r w:rsidRPr="00A1535E">
        <w:rPr>
          <w:rFonts w:cs="Calibri"/>
          <w:b/>
          <w:iCs/>
        </w:rPr>
        <w:t>:</w:t>
      </w:r>
      <w:r w:rsidRPr="00A1535E">
        <w:rPr>
          <w:rFonts w:cs="Calibri"/>
          <w:b/>
        </w:rPr>
        <w:t xml:space="preserve"> </w:t>
      </w:r>
      <w:r w:rsidRPr="00A1535E">
        <w:rPr>
          <w:rFonts w:cs="Calibri"/>
        </w:rPr>
        <w:t>Microsatellite</w:t>
      </w:r>
      <w:r w:rsidRPr="00A1535E">
        <w:rPr>
          <w:rFonts w:cs="Calibri"/>
          <w:b/>
        </w:rPr>
        <w:t xml:space="preserve"> </w:t>
      </w:r>
      <w:r w:rsidRPr="00A1535E">
        <w:rPr>
          <w:rFonts w:cs="Calibri"/>
        </w:rPr>
        <w:t xml:space="preserve">content for each type of microsatellite (2-mer, 3-mer, 4-mer, 5-mer, 6-mer) was measured for each of the species in our dataset (Figure 1). The highest total microsatellite content was found in </w:t>
      </w:r>
      <w:r w:rsidRPr="00A1535E">
        <w:rPr>
          <w:rFonts w:cs="Calibri"/>
          <w:i/>
          <w:iCs/>
        </w:rPr>
        <w:t>Blatella germanica</w:t>
      </w:r>
      <w:r w:rsidRPr="00A1535E">
        <w:rPr>
          <w:rFonts w:cs="Calibri"/>
        </w:rPr>
        <w:t xml:space="preserve"> with a total of 19.03 Mbp of microsatellite content. The lowest microsatellite content was found in </w:t>
      </w:r>
      <w:r w:rsidRPr="00A1535E">
        <w:rPr>
          <w:rFonts w:cs="Calibri"/>
          <w:i/>
          <w:iCs/>
        </w:rPr>
        <w:t>Belgica antarctica</w:t>
      </w:r>
      <w:r w:rsidRPr="00A1535E">
        <w:rPr>
          <w:rFonts w:cs="Calibri"/>
        </w:rPr>
        <w:t xml:space="preserve"> with a total of 0.17 Mbp of microsatellite content. Across all insects, we found that 2-mers are the most abundant type of microsatellite accounting for an average of 1.06 Mbp of the average insect genome assembly. </w:t>
      </w:r>
    </w:p>
    <w:p w:rsidR="009A2357"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sz w:val="20"/>
        </w:rPr>
        <w:t>Our estimates of order rates revealed striking variation in rates of evolution (Figure 2A). Coleoptera exhibited the lowest rates of microsatellite evolution (</w:t>
      </w:r>
      <w:r w:rsidRPr="00A1535E">
        <w:rPr>
          <w:rFonts w:ascii="Palatino Linotype" w:hAnsi="Palatino Linotype" w:cs="Arial"/>
          <w:color w:val="202122"/>
          <w:sz w:val="20"/>
          <w:shd w:val="clear" w:color="auto" w:fill="FFFFFF"/>
          <w:lang w:eastAsia="en-US"/>
        </w:rPr>
        <w:t>σ</w:t>
      </w:r>
      <w:r w:rsidRPr="00A1535E">
        <w:rPr>
          <w:rFonts w:ascii="Palatino Linotype" w:hAnsi="Palatino Linotype" w:cs="Calibri"/>
          <w:sz w:val="20"/>
          <w:vertAlign w:val="superscript"/>
        </w:rPr>
        <w:t>2</w:t>
      </w:r>
      <w:r w:rsidRPr="00A1535E">
        <w:rPr>
          <w:rFonts w:ascii="Palatino Linotype" w:hAnsi="Palatino Linotype" w:cs="Calibri"/>
          <w:sz w:val="20"/>
        </w:rPr>
        <w:t>=0.006x10</w:t>
      </w:r>
      <w:r w:rsidRPr="00A1535E">
        <w:rPr>
          <w:rFonts w:ascii="Palatino Linotype" w:hAnsi="Palatino Linotype" w:cs="Calibri"/>
          <w:sz w:val="20"/>
          <w:vertAlign w:val="superscript"/>
        </w:rPr>
        <w:t>5</w:t>
      </w:r>
      <w:r w:rsidRPr="00A1535E">
        <w:rPr>
          <w:rFonts w:ascii="Palatino Linotype" w:hAnsi="Palatino Linotype" w:cs="Calibri"/>
          <w:sz w:val="20"/>
        </w:rPr>
        <w:t>) while Diptera and Hemiptera exhibited the highest rates of microsatellite evolution (</w:t>
      </w:r>
      <w:r w:rsidRPr="00A1535E">
        <w:rPr>
          <w:rFonts w:ascii="Palatino Linotype" w:hAnsi="Palatino Linotype" w:cs="Arial"/>
          <w:color w:val="202122"/>
          <w:sz w:val="20"/>
          <w:shd w:val="clear" w:color="auto" w:fill="FFFFFF"/>
          <w:lang w:eastAsia="en-US"/>
        </w:rPr>
        <w:t>σ</w:t>
      </w:r>
      <w:r w:rsidRPr="00A1535E">
        <w:rPr>
          <w:rFonts w:ascii="Palatino Linotype" w:hAnsi="Palatino Linotype" w:cs="Calibri"/>
          <w:sz w:val="20"/>
          <w:vertAlign w:val="superscript"/>
        </w:rPr>
        <w:t>2</w:t>
      </w:r>
      <w:r w:rsidRPr="00A1535E">
        <w:rPr>
          <w:rFonts w:ascii="Palatino Linotype" w:hAnsi="Palatino Linotype" w:cs="Calibri"/>
          <w:sz w:val="20"/>
        </w:rPr>
        <w:t>=1.278x10</w:t>
      </w:r>
      <w:r w:rsidRPr="00A1535E">
        <w:rPr>
          <w:rFonts w:ascii="Palatino Linotype" w:hAnsi="Palatino Linotype" w:cs="Calibri"/>
          <w:sz w:val="20"/>
          <w:vertAlign w:val="superscript"/>
        </w:rPr>
        <w:t>5</w:t>
      </w:r>
      <w:r w:rsidRPr="00A1535E">
        <w:rPr>
          <w:rFonts w:ascii="Palatino Linotype" w:hAnsi="Palatino Linotype" w:cs="Calibri"/>
          <w:sz w:val="20"/>
        </w:rPr>
        <w:t xml:space="preserve"> and 1.157x10</w:t>
      </w:r>
      <w:r w:rsidRPr="00A1535E">
        <w:rPr>
          <w:rFonts w:ascii="Palatino Linotype" w:hAnsi="Palatino Linotype" w:cs="Calibri"/>
          <w:sz w:val="20"/>
          <w:vertAlign w:val="superscript"/>
        </w:rPr>
        <w:t>5</w:t>
      </w:r>
      <w:r w:rsidRPr="00A1535E">
        <w:rPr>
          <w:rFonts w:ascii="Palatino Linotype" w:hAnsi="Palatino Linotype" w:cs="Calibri"/>
          <w:sz w:val="20"/>
        </w:rPr>
        <w:t xml:space="preserve"> respectively). Next, we estimated tip rates of microsatellite evolution. Tip rates (in units of bp change per million years) for most species were normally distributed around zero. However, two hemipterans, </w:t>
      </w:r>
      <w:r w:rsidRPr="00A1535E">
        <w:rPr>
          <w:rFonts w:ascii="Palatino Linotype" w:hAnsi="Palatino Linotype" w:cs="Calibri"/>
          <w:i/>
          <w:iCs/>
          <w:sz w:val="20"/>
        </w:rPr>
        <w:t>Pseudococcus longispinus</w:t>
      </w:r>
      <w:r w:rsidRPr="00A1535E">
        <w:rPr>
          <w:rFonts w:ascii="Palatino Linotype" w:hAnsi="Palatino Linotype" w:cs="Calibri"/>
          <w:sz w:val="20"/>
        </w:rPr>
        <w:t xml:space="preserve"> and </w:t>
      </w:r>
      <w:r w:rsidRPr="00A1535E">
        <w:rPr>
          <w:rFonts w:ascii="Palatino Linotype" w:hAnsi="Palatino Linotype" w:cs="Calibri"/>
          <w:i/>
          <w:iCs/>
          <w:sz w:val="20"/>
        </w:rPr>
        <w:t>Paracoccus marginatus,</w:t>
      </w:r>
      <w:r w:rsidRPr="00A1535E">
        <w:rPr>
          <w:rFonts w:ascii="Palatino Linotype" w:hAnsi="Palatino Linotype" w:cs="Calibri"/>
          <w:sz w:val="20"/>
        </w:rPr>
        <w:t xml:space="preserve"> both exhibited strikingly negative tip rate values (-3.3x10</w:t>
      </w:r>
      <w:r w:rsidRPr="00A1535E">
        <w:rPr>
          <w:rFonts w:ascii="Palatino Linotype" w:hAnsi="Palatino Linotype" w:cs="Calibri"/>
          <w:sz w:val="20"/>
          <w:vertAlign w:val="superscript"/>
        </w:rPr>
        <w:t>-6</w:t>
      </w:r>
      <w:r w:rsidRPr="00A1535E">
        <w:rPr>
          <w:rFonts w:ascii="Palatino Linotype" w:hAnsi="Palatino Linotype" w:cs="Calibri"/>
          <w:sz w:val="20"/>
        </w:rPr>
        <w:t xml:space="preserve"> and -3.7x10</w:t>
      </w:r>
      <w:r w:rsidRPr="00A1535E">
        <w:rPr>
          <w:rFonts w:ascii="Palatino Linotype" w:hAnsi="Palatino Linotype" w:cs="Calibri"/>
          <w:sz w:val="20"/>
          <w:vertAlign w:val="superscript"/>
        </w:rPr>
        <w:t>-6</w:t>
      </w:r>
      <w:r w:rsidRPr="00A1535E">
        <w:rPr>
          <w:rFonts w:ascii="Palatino Linotype" w:hAnsi="Palatino Linotype" w:cs="Calibri"/>
          <w:sz w:val="20"/>
        </w:rPr>
        <w:t xml:space="preserve"> respectively). </w:t>
      </w:r>
      <w:ins w:id="82" w:author="Microsoft Office User" w:date="2020-07-31T01:19:00Z">
        <w:r w:rsidR="0088417C">
          <w:rPr>
            <w:rFonts w:ascii="Palatino Linotype" w:hAnsi="Palatino Linotype" w:cs="Calibri"/>
            <w:sz w:val="20"/>
          </w:rPr>
          <w:t>While alone these values may not seem striking, these numbers are 45 and 51 times l</w:t>
        </w:r>
      </w:ins>
      <w:ins w:id="83" w:author="Microsoft Office User" w:date="2020-07-31T01:20:00Z">
        <w:r w:rsidR="0088417C">
          <w:rPr>
            <w:rFonts w:ascii="Palatino Linotype" w:hAnsi="Palatino Linotype" w:cs="Calibri"/>
            <w:sz w:val="20"/>
          </w:rPr>
          <w:t xml:space="preserve">arger respectively than the relative mean tip rate observed in our dataset. </w:t>
        </w:r>
      </w:ins>
      <w:r w:rsidRPr="00A1535E">
        <w:rPr>
          <w:rFonts w:ascii="Palatino Linotype" w:hAnsi="Palatino Linotype" w:cs="Calibri"/>
          <w:sz w:val="20"/>
        </w:rPr>
        <w:t xml:space="preserve">These two species also exhibited a considerably smaller genome size than is typical for hemipterans (average = 490 Mbp) with a genome size of 285 Mbp for </w:t>
      </w:r>
      <w:r w:rsidRPr="00A1535E">
        <w:rPr>
          <w:rFonts w:ascii="Palatino Linotype" w:hAnsi="Palatino Linotype" w:cs="Calibri"/>
          <w:i/>
          <w:iCs/>
          <w:sz w:val="20"/>
        </w:rPr>
        <w:t>Pseudococcus longispinus</w:t>
      </w:r>
      <w:r w:rsidRPr="00A1535E">
        <w:rPr>
          <w:rFonts w:ascii="Palatino Linotype" w:hAnsi="Palatino Linotype" w:cs="Calibri"/>
          <w:sz w:val="20"/>
        </w:rPr>
        <w:t xml:space="preserve"> and 191 Mbp for </w:t>
      </w:r>
      <w:r w:rsidRPr="00A1535E">
        <w:rPr>
          <w:rFonts w:ascii="Palatino Linotype" w:hAnsi="Palatino Linotype" w:cs="Calibri"/>
          <w:i/>
          <w:iCs/>
          <w:sz w:val="20"/>
        </w:rPr>
        <w:t>Paracoccus marginatus</w:t>
      </w:r>
      <w:r w:rsidRPr="00A1535E">
        <w:rPr>
          <w:rFonts w:ascii="Palatino Linotype" w:hAnsi="Palatino Linotype" w:cs="Calibri"/>
          <w:sz w:val="20"/>
        </w:rPr>
        <w:t xml:space="preserve">. </w:t>
      </w:r>
    </w:p>
    <w:p w:rsidR="00564337" w:rsidRPr="00564337" w:rsidRDefault="0088417C" w:rsidP="009F1008">
      <w:pPr>
        <w:jc w:val="center"/>
        <w:rPr>
          <w:rFonts w:cs="Calibri"/>
        </w:rPr>
      </w:pPr>
      <w:r>
        <w:rPr>
          <w:rFonts w:cs="Calibri"/>
          <w:noProof/>
        </w:rPr>
        <w:lastRenderedPageBreak/>
        <w:drawing>
          <wp:inline distT="0" distB="0" distL="0" distR="0" wp14:anchorId="6123AEF0">
            <wp:extent cx="4477385" cy="4950460"/>
            <wp:effectExtent l="0" t="0" r="0" b="0"/>
            <wp:docPr id="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7385" cy="4950460"/>
                    </a:xfrm>
                    <a:prstGeom prst="rect">
                      <a:avLst/>
                    </a:prstGeom>
                    <a:noFill/>
                    <a:ln>
                      <a:noFill/>
                    </a:ln>
                  </pic:spPr>
                </pic:pic>
              </a:graphicData>
            </a:graphic>
          </wp:inline>
        </w:drawing>
      </w:r>
    </w:p>
    <w:p w:rsidR="00564337" w:rsidRPr="00564337" w:rsidRDefault="00564337" w:rsidP="009F1008">
      <w:pPr>
        <w:spacing w:line="260" w:lineRule="atLeast"/>
        <w:ind w:left="432" w:right="432"/>
        <w:rPr>
          <w:rFonts w:ascii="Palatino Linotype" w:hAnsi="Palatino Linotype" w:cs="Calibri"/>
          <w:sz w:val="18"/>
          <w:szCs w:val="18"/>
        </w:rPr>
      </w:pPr>
      <w:r w:rsidRPr="00564337">
        <w:rPr>
          <w:rFonts w:ascii="Palatino Linotype" w:hAnsi="Palatino Linotype" w:cs="Calibri"/>
          <w:b/>
          <w:sz w:val="18"/>
          <w:szCs w:val="18"/>
        </w:rPr>
        <w:t>Figure 1.</w:t>
      </w:r>
      <w:r w:rsidRPr="00564337">
        <w:rPr>
          <w:rFonts w:ascii="Palatino Linotype" w:hAnsi="Palatino Linotype" w:cs="Calibri"/>
          <w:sz w:val="18"/>
          <w:szCs w:val="18"/>
        </w:rPr>
        <w:t xml:space="preserve"> The inferred microsatellite counts for each type (2-mer, 3-mer, 4-mer, 5-mer, 6-mer, and total) with cool colors representing lower microsatellite content and warm colors representing higher microsatellite content. The values are standardized across all types. The phylogeny depicting the row that corresponds to each species can be seen on the left, and the orders that each of these species encompass is on the right. </w:t>
      </w:r>
    </w:p>
    <w:p w:rsidR="00564337" w:rsidRPr="00A1535E" w:rsidRDefault="00564337" w:rsidP="00A1535E">
      <w:pPr>
        <w:spacing w:line="260" w:lineRule="atLeast"/>
        <w:rPr>
          <w:rFonts w:ascii="Palatino Linotype" w:hAnsi="Palatino Linotype" w:cs="Calibri"/>
          <w:b/>
          <w:sz w:val="20"/>
        </w:rPr>
      </w:pPr>
    </w:p>
    <w:p w:rsidR="009A2357" w:rsidRPr="00564337" w:rsidRDefault="009A2357" w:rsidP="00A1535E">
      <w:pPr>
        <w:spacing w:line="260" w:lineRule="atLeast"/>
        <w:rPr>
          <w:rFonts w:ascii="Palatino Linotype" w:hAnsi="Palatino Linotype" w:cs="Calibri"/>
          <w:bCs/>
          <w:i/>
          <w:iCs/>
          <w:sz w:val="20"/>
        </w:rPr>
      </w:pPr>
      <w:r w:rsidRPr="00A1535E">
        <w:rPr>
          <w:rFonts w:ascii="Palatino Linotype" w:hAnsi="Palatino Linotype" w:cs="Calibri"/>
          <w:bCs/>
          <w:i/>
          <w:iCs/>
          <w:sz w:val="20"/>
        </w:rPr>
        <w:t>3.2 Comparative analyses</w:t>
      </w:r>
    </w:p>
    <w:p w:rsidR="009A2357" w:rsidRDefault="009A2357" w:rsidP="00A1535E">
      <w:pPr>
        <w:spacing w:line="260" w:lineRule="atLeast"/>
        <w:rPr>
          <w:ins w:id="84" w:author="Heath Blackmon" w:date="2020-08-11T14:37:00Z"/>
          <w:rFonts w:ascii="Palatino Linotype" w:hAnsi="Palatino Linotype" w:cs="Calibri"/>
          <w:sz w:val="20"/>
        </w:rPr>
      </w:pPr>
      <w:r w:rsidRPr="00A1535E">
        <w:rPr>
          <w:rFonts w:ascii="Palatino Linotype" w:hAnsi="Palatino Linotype" w:cs="Calibri"/>
          <w:i/>
          <w:iCs/>
          <w:sz w:val="20"/>
        </w:rPr>
        <w:t>3.2.1 Order:</w:t>
      </w:r>
      <w:r w:rsidRPr="00A1535E">
        <w:rPr>
          <w:rFonts w:ascii="Palatino Linotype" w:hAnsi="Palatino Linotype" w:cs="Calibri"/>
          <w:sz w:val="20"/>
        </w:rPr>
        <w:t xml:space="preserve"> We first tested whether different orders of insects had different microsatellite content using both a standard and a phylogenetically corrected ANOVA. The response variables were the raw count of bp of each microsatellite type (2-6mer), the total sum of all microsatellites, and the proportion of the genome that is composed of microsatellite content. This proportion was calculated by taking the total raw microsatellite content divided by the assembly size. While we found that standard ANOVAs returned significant results for six of the seven response variables none of these were significant after correction for phylogenetic history (Supplemental Table 4). This result is not unexpected when we examine the distribution of microsatellite proportions </w:t>
      </w:r>
      <w:r w:rsidR="00564337">
        <w:rPr>
          <w:rFonts w:ascii="Palatino Linotype" w:hAnsi="Palatino Linotype" w:cs="Calibri"/>
          <w:sz w:val="20"/>
        </w:rPr>
        <w:t>(</w:t>
      </w:r>
      <w:r w:rsidRPr="00A1535E">
        <w:rPr>
          <w:rFonts w:ascii="Palatino Linotype" w:hAnsi="Palatino Linotype" w:cs="Calibri"/>
          <w:sz w:val="20"/>
        </w:rPr>
        <w:t>Figure 2B</w:t>
      </w:r>
      <w:r w:rsidR="00564337">
        <w:rPr>
          <w:rFonts w:ascii="Palatino Linotype" w:hAnsi="Palatino Linotype" w:cs="Calibri"/>
          <w:sz w:val="20"/>
        </w:rPr>
        <w:t>)</w:t>
      </w:r>
      <w:r w:rsidRPr="00A1535E">
        <w:rPr>
          <w:rFonts w:ascii="Palatino Linotype" w:hAnsi="Palatino Linotype" w:cs="Calibri"/>
          <w:sz w:val="20"/>
        </w:rPr>
        <w:t>.</w:t>
      </w:r>
    </w:p>
    <w:p w:rsidR="00204E64" w:rsidRDefault="00204E64" w:rsidP="00A1535E">
      <w:pPr>
        <w:spacing w:line="260" w:lineRule="atLeast"/>
        <w:rPr>
          <w:rFonts w:ascii="Palatino Linotype" w:hAnsi="Palatino Linotype" w:cs="Calibri"/>
          <w:sz w:val="20"/>
        </w:rPr>
      </w:pPr>
    </w:p>
    <w:p w:rsidR="00564337" w:rsidRPr="00564337" w:rsidRDefault="00204E64" w:rsidP="00564337">
      <w:pPr>
        <w:rPr>
          <w:rFonts w:cs="Calibri"/>
        </w:rPr>
      </w:pPr>
      <w:ins w:id="85" w:author="Heath Blackmon" w:date="2020-08-11T14:37:00Z">
        <w:r>
          <w:rPr>
            <w:rFonts w:cs="Calibri"/>
            <w:noProof/>
          </w:rPr>
          <w:lastRenderedPageBreak/>
          <w:drawing>
            <wp:inline distT="0" distB="0" distL="0" distR="0">
              <wp:extent cx="5615940" cy="2849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5940" cy="2849880"/>
                      </a:xfrm>
                      <a:prstGeom prst="rect">
                        <a:avLst/>
                      </a:prstGeom>
                    </pic:spPr>
                  </pic:pic>
                </a:graphicData>
              </a:graphic>
            </wp:inline>
          </w:drawing>
        </w:r>
      </w:ins>
    </w:p>
    <w:p w:rsidR="00564337" w:rsidRPr="00564337" w:rsidRDefault="00564337" w:rsidP="009F1008">
      <w:pPr>
        <w:spacing w:line="260" w:lineRule="atLeast"/>
        <w:ind w:left="432" w:right="432"/>
        <w:rPr>
          <w:rFonts w:ascii="Palatino Linotype" w:hAnsi="Palatino Linotype" w:cs="Calibri"/>
          <w:sz w:val="18"/>
          <w:szCs w:val="18"/>
        </w:rPr>
      </w:pPr>
      <w:r w:rsidRPr="00564337">
        <w:rPr>
          <w:rFonts w:ascii="Palatino Linotype" w:hAnsi="Palatino Linotype" w:cs="Calibri"/>
          <w:b/>
          <w:sz w:val="18"/>
          <w:szCs w:val="18"/>
        </w:rPr>
        <w:t>Figure 2.</w:t>
      </w:r>
      <w:r w:rsidRPr="00564337">
        <w:rPr>
          <w:rFonts w:ascii="Palatino Linotype" w:hAnsi="Palatino Linotype" w:cs="Calibri"/>
          <w:sz w:val="18"/>
          <w:szCs w:val="18"/>
        </w:rPr>
        <w:t xml:space="preserve"> Comparing microsatellite content and rates of evolution among orders. Both y-axes are measured in a log scale. The centromere type present in an order is indicated with an H or M at the top of the plot for holocentric and monocentric respectively. Orders are indicated on the horizontal axis. </w:t>
      </w:r>
      <w:r w:rsidRPr="00564337">
        <w:rPr>
          <w:rFonts w:ascii="Palatino Linotype" w:hAnsi="Palatino Linotype" w:cs="Calibri"/>
          <w:b/>
          <w:bCs/>
          <w:sz w:val="18"/>
          <w:szCs w:val="18"/>
        </w:rPr>
        <w:t>(a)</w:t>
      </w:r>
      <w:r w:rsidRPr="00564337">
        <w:rPr>
          <w:rFonts w:ascii="Palatino Linotype" w:hAnsi="Palatino Linotype" w:cs="Calibri"/>
          <w:sz w:val="18"/>
          <w:szCs w:val="18"/>
        </w:rPr>
        <w:t xml:space="preserve"> The rate of microsatellite evolution for all orders with at least ten representatives.</w:t>
      </w:r>
      <w:ins w:id="86" w:author="Microsoft Office User" w:date="2020-07-29T12:42:00Z">
        <w:r w:rsidR="002C002F">
          <w:rPr>
            <w:rFonts w:ascii="Palatino Linotype" w:hAnsi="Palatino Linotype" w:cs="Calibri"/>
            <w:sz w:val="18"/>
            <w:szCs w:val="18"/>
          </w:rPr>
          <w:t xml:space="preserve"> For each order 100 estimates derived from each of the 100 trees is plotted.</w:t>
        </w:r>
      </w:ins>
      <w:r w:rsidRPr="00564337">
        <w:rPr>
          <w:rFonts w:ascii="Palatino Linotype" w:hAnsi="Palatino Linotype" w:cs="Calibri"/>
          <w:sz w:val="18"/>
          <w:szCs w:val="18"/>
        </w:rPr>
        <w:t xml:space="preserve"> </w:t>
      </w:r>
      <w:r w:rsidRPr="00564337">
        <w:rPr>
          <w:rFonts w:ascii="Palatino Linotype" w:hAnsi="Palatino Linotype" w:cs="Calibri"/>
          <w:b/>
          <w:bCs/>
          <w:sz w:val="18"/>
          <w:szCs w:val="18"/>
        </w:rPr>
        <w:t>(b)</w:t>
      </w:r>
      <w:r w:rsidRPr="00564337">
        <w:rPr>
          <w:rFonts w:ascii="Palatino Linotype" w:hAnsi="Palatino Linotype" w:cs="Calibri"/>
          <w:sz w:val="18"/>
          <w:szCs w:val="18"/>
        </w:rPr>
        <w:t xml:space="preserve"> Microsatellite content for all species included in comparative analyses.</w:t>
      </w:r>
    </w:p>
    <w:p w:rsidR="00564337" w:rsidRPr="00A1535E" w:rsidRDefault="00564337" w:rsidP="00A1535E">
      <w:pPr>
        <w:spacing w:line="260" w:lineRule="atLeast"/>
        <w:rPr>
          <w:rFonts w:ascii="Palatino Linotype" w:hAnsi="Palatino Linotype" w:cs="Calibri"/>
          <w:sz w:val="20"/>
        </w:rPr>
      </w:pPr>
    </w:p>
    <w:p w:rsidR="009A2357" w:rsidRDefault="009A2357" w:rsidP="00A1535E">
      <w:pPr>
        <w:spacing w:line="260" w:lineRule="atLeast"/>
        <w:rPr>
          <w:rFonts w:ascii="Palatino Linotype" w:hAnsi="Palatino Linotype" w:cs="Calibri"/>
          <w:sz w:val="20"/>
        </w:rPr>
      </w:pPr>
      <w:r w:rsidRPr="00A1535E">
        <w:rPr>
          <w:rFonts w:ascii="Palatino Linotype" w:hAnsi="Palatino Linotype" w:cs="Calibri"/>
          <w:i/>
          <w:sz w:val="20"/>
        </w:rPr>
        <w:t>3.2.2 Centromere Type</w:t>
      </w:r>
      <w:r w:rsidRPr="00A1535E">
        <w:rPr>
          <w:rFonts w:ascii="Palatino Linotype" w:hAnsi="Palatino Linotype" w:cs="Calibri"/>
          <w:sz w:val="20"/>
        </w:rPr>
        <w:t xml:space="preserve">: We reasoned that due to the repetitive nature of centromeric sequences, species with different centromere types may have distinct tempos and modes of evolution. Using stochastic maps of centromere type evolution, we performed a censored rate test to determine if rates of microsatellite evolution were significantly different in lineages with these two types of centromeres. Out of the 100 posterior distribution trees, 99 favored a two-rate model. The rate estimates for microsatellite evolution were higher in lineages with monocentric chromosomes for all trees including the one tree that did not support a two-rate model as significantly better (Figure 3A). We also compared the mean microsatellite content (2-6mer and total content) of lineages with monocentric and holocentric chromosomes using a standard and phylogenetically corrected ANOVA (Figure 3B). In no cases were monocentric and holocentric lineages significantly different (Supplemental Table </w:t>
      </w:r>
      <w:r w:rsidR="00FF5DE6">
        <w:rPr>
          <w:rFonts w:ascii="Palatino Linotype" w:hAnsi="Palatino Linotype" w:cs="Calibri"/>
          <w:sz w:val="20"/>
        </w:rPr>
        <w:t>5</w:t>
      </w:r>
      <w:r w:rsidRPr="00A1535E">
        <w:rPr>
          <w:rFonts w:ascii="Palatino Linotype" w:hAnsi="Palatino Linotype" w:cs="Calibri"/>
          <w:sz w:val="20"/>
        </w:rPr>
        <w:t xml:space="preserve">). </w:t>
      </w:r>
    </w:p>
    <w:p w:rsidR="00564337" w:rsidRPr="00564337" w:rsidRDefault="0088417C" w:rsidP="00564337">
      <w:pPr>
        <w:rPr>
          <w:rFonts w:cs="Calibri"/>
        </w:rPr>
      </w:pPr>
      <w:r>
        <w:rPr>
          <w:rFonts w:cs="Calibri"/>
          <w:noProof/>
        </w:rPr>
        <w:lastRenderedPageBreak/>
        <w:drawing>
          <wp:inline distT="0" distB="0" distL="0" distR="0" wp14:anchorId="4F1D6D11">
            <wp:extent cx="4319905" cy="3925570"/>
            <wp:effectExtent l="0" t="0" r="0" b="0"/>
            <wp:docPr id="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9">
                      <a:extLst>
                        <a:ext uri="{28A0092B-C50C-407E-A947-70E740481C1C}">
                          <a14:useLocalDpi xmlns:a14="http://schemas.microsoft.com/office/drawing/2010/main" val="0"/>
                        </a:ext>
                      </a:extLst>
                    </a:blip>
                    <a:srcRect l="16978" r="21220"/>
                    <a:stretch>
                      <a:fillRect/>
                    </a:stretch>
                  </pic:blipFill>
                  <pic:spPr bwMode="auto">
                    <a:xfrm>
                      <a:off x="0" y="0"/>
                      <a:ext cx="4319905" cy="3925570"/>
                    </a:xfrm>
                    <a:prstGeom prst="rect">
                      <a:avLst/>
                    </a:prstGeom>
                    <a:noFill/>
                    <a:ln>
                      <a:noFill/>
                    </a:ln>
                  </pic:spPr>
                </pic:pic>
              </a:graphicData>
            </a:graphic>
          </wp:inline>
        </w:drawing>
      </w:r>
    </w:p>
    <w:p w:rsidR="00564337" w:rsidRPr="00564337" w:rsidRDefault="00564337" w:rsidP="009F1008">
      <w:pPr>
        <w:spacing w:line="260" w:lineRule="atLeast"/>
        <w:ind w:left="432" w:right="432"/>
        <w:rPr>
          <w:rFonts w:ascii="Palatino Linotype" w:hAnsi="Palatino Linotype" w:cs="Calibri"/>
          <w:sz w:val="18"/>
          <w:szCs w:val="18"/>
        </w:rPr>
      </w:pPr>
      <w:r w:rsidRPr="00564337">
        <w:rPr>
          <w:rFonts w:ascii="Palatino Linotype" w:hAnsi="Palatino Linotype" w:cs="Calibri"/>
          <w:b/>
          <w:sz w:val="18"/>
          <w:szCs w:val="18"/>
        </w:rPr>
        <w:t>Figure 3</w:t>
      </w:r>
      <w:r w:rsidRPr="00564337">
        <w:rPr>
          <w:rFonts w:ascii="Palatino Linotype" w:hAnsi="Palatino Linotype" w:cs="Calibri"/>
          <w:sz w:val="18"/>
          <w:szCs w:val="18"/>
        </w:rPr>
        <w:t xml:space="preserve">. Comparing rates and content to centromere type and chromosome number. </w:t>
      </w:r>
      <w:r w:rsidRPr="00564337">
        <w:rPr>
          <w:rFonts w:ascii="Palatino Linotype" w:hAnsi="Palatino Linotype" w:cs="Calibri"/>
          <w:b/>
          <w:bCs/>
          <w:sz w:val="18"/>
          <w:szCs w:val="18"/>
        </w:rPr>
        <w:t>(a)</w:t>
      </w:r>
      <w:r w:rsidRPr="00564337">
        <w:rPr>
          <w:rFonts w:ascii="Palatino Linotype" w:hAnsi="Palatino Linotype" w:cs="Calibri"/>
          <w:sz w:val="18"/>
          <w:szCs w:val="18"/>
        </w:rPr>
        <w:t xml:space="preserve"> The difference between the monocentric and holocentric rate predicted under a Brownian motion model for the 100 posterior distribution trees. </w:t>
      </w:r>
      <w:r w:rsidRPr="00564337">
        <w:rPr>
          <w:rFonts w:ascii="Palatino Linotype" w:hAnsi="Palatino Linotype" w:cs="Calibri"/>
          <w:b/>
          <w:bCs/>
          <w:sz w:val="18"/>
          <w:szCs w:val="18"/>
        </w:rPr>
        <w:t>(b)</w:t>
      </w:r>
      <w:r w:rsidRPr="00564337">
        <w:rPr>
          <w:rFonts w:ascii="Palatino Linotype" w:hAnsi="Palatino Linotype" w:cs="Calibri"/>
          <w:sz w:val="18"/>
          <w:szCs w:val="18"/>
        </w:rPr>
        <w:t xml:space="preserve"> The difference between the microsatellite content in base pairs between holocentric and monocentric species. The y-axis is in the log scale. </w:t>
      </w:r>
      <w:r w:rsidRPr="00564337">
        <w:rPr>
          <w:rFonts w:ascii="Palatino Linotype" w:hAnsi="Palatino Linotype" w:cs="Calibri"/>
          <w:b/>
          <w:bCs/>
          <w:sz w:val="18"/>
          <w:szCs w:val="18"/>
        </w:rPr>
        <w:t>(c)</w:t>
      </w:r>
      <w:r w:rsidRPr="00564337">
        <w:rPr>
          <w:rFonts w:ascii="Palatino Linotype" w:hAnsi="Palatino Linotype" w:cs="Calibri"/>
          <w:sz w:val="18"/>
          <w:szCs w:val="18"/>
        </w:rPr>
        <w:t xml:space="preserve"> The relationship between microsatellite evolution rates and the diploid chromosome number for each species. </w:t>
      </w:r>
      <w:r w:rsidRPr="00564337">
        <w:rPr>
          <w:rFonts w:ascii="Palatino Linotype" w:hAnsi="Palatino Linotype" w:cs="Calibri"/>
          <w:b/>
          <w:bCs/>
          <w:sz w:val="18"/>
          <w:szCs w:val="18"/>
        </w:rPr>
        <w:t>(d)</w:t>
      </w:r>
      <w:r w:rsidRPr="00564337">
        <w:rPr>
          <w:rFonts w:ascii="Palatino Linotype" w:hAnsi="Palatino Linotype" w:cs="Calibri"/>
          <w:sz w:val="18"/>
          <w:szCs w:val="18"/>
        </w:rPr>
        <w:t xml:space="preserve"> The relationship between the microsatellite content in bp/Mbp and the diploid chromosome number for each of the species.</w:t>
      </w:r>
    </w:p>
    <w:p w:rsidR="00564337" w:rsidRPr="00A1535E" w:rsidRDefault="00564337" w:rsidP="00A1535E">
      <w:pPr>
        <w:spacing w:line="260" w:lineRule="atLeast"/>
        <w:rPr>
          <w:rFonts w:ascii="Palatino Linotype" w:hAnsi="Palatino Linotype" w:cs="Calibri"/>
          <w:sz w:val="20"/>
        </w:rPr>
      </w:pPr>
    </w:p>
    <w:p w:rsidR="009A2357" w:rsidRPr="00A1535E" w:rsidRDefault="009A2357" w:rsidP="00A1535E">
      <w:pPr>
        <w:spacing w:line="260" w:lineRule="atLeast"/>
        <w:rPr>
          <w:rFonts w:ascii="Palatino Linotype" w:hAnsi="Palatino Linotype" w:cs="Calibri"/>
          <w:sz w:val="20"/>
        </w:rPr>
      </w:pPr>
      <w:r w:rsidRPr="00A1535E">
        <w:rPr>
          <w:rFonts w:ascii="Palatino Linotype" w:hAnsi="Palatino Linotype" w:cs="Calibri"/>
          <w:i/>
          <w:sz w:val="20"/>
        </w:rPr>
        <w:t>3.2.3 Chromosome Number and Genome Size</w:t>
      </w:r>
      <w:r w:rsidRPr="00A1535E">
        <w:rPr>
          <w:rFonts w:ascii="Palatino Linotype" w:hAnsi="Palatino Linotype" w:cs="Calibri"/>
          <w:sz w:val="20"/>
        </w:rPr>
        <w:t xml:space="preserve">: To test for a contingency between these traits we fit linear models where chromosome number or genome size were predictor variables and tip rates of microsatellite evolution or microsatellite content were response variables; in all cases, linear models were fit while correcting for phylogeny. We found no significant relationship between chromosome number and rates of microsatellite evolution (Figure 3c) or microsatellite content (Figure 3d). In contrast, when we tested genome size as the predictor variable for microsatellite content 96 of 100 phylogenies produced a significant result (Figure 4a). For 99 of the models, the slope of this relationship is positive indicating increased genome size is associate with increased microsatellite content. Likewise, when the response variable was rate of microsatellite evolution </w:t>
      </w:r>
      <w:ins w:id="87" w:author="Microsoft Office User" w:date="2020-07-31T01:42:00Z">
        <w:r w:rsidR="00957F65">
          <w:rPr>
            <w:rFonts w:ascii="Palatino Linotype" w:hAnsi="Palatino Linotype" w:cs="Calibri"/>
            <w:sz w:val="20"/>
          </w:rPr>
          <w:t>53</w:t>
        </w:r>
      </w:ins>
      <w:del w:id="88" w:author="Microsoft Office User" w:date="2020-07-31T01:42:00Z">
        <w:r w:rsidRPr="00A1535E" w:rsidDel="00957F65">
          <w:rPr>
            <w:rFonts w:ascii="Palatino Linotype" w:hAnsi="Palatino Linotype" w:cs="Calibri"/>
            <w:sz w:val="20"/>
          </w:rPr>
          <w:delText>94</w:delText>
        </w:r>
      </w:del>
      <w:r w:rsidRPr="00A1535E">
        <w:rPr>
          <w:rFonts w:ascii="Palatino Linotype" w:hAnsi="Palatino Linotype" w:cs="Calibri"/>
          <w:sz w:val="20"/>
        </w:rPr>
        <w:t xml:space="preserve"> out of 100 trees produced a significant result (Figure 4b). However, in this case, the increased genome size was associated with a very small decrease in the rate of microsatellite evolution in 84 of the 100 trees.</w:t>
      </w:r>
    </w:p>
    <w:p w:rsidR="00564337" w:rsidRPr="00564337" w:rsidRDefault="0088417C" w:rsidP="00564337">
      <w:pPr>
        <w:rPr>
          <w:rFonts w:cs="Calibri"/>
          <w:color w:val="0070C0"/>
        </w:rPr>
      </w:pPr>
      <w:r>
        <w:rPr>
          <w:rFonts w:cs="Calibri"/>
          <w:noProof/>
          <w:color w:val="0070C0"/>
        </w:rPr>
        <w:lastRenderedPageBreak/>
        <w:drawing>
          <wp:inline distT="0" distB="0" distL="0" distR="0" wp14:anchorId="63422149">
            <wp:extent cx="4193540" cy="200215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0">
                      <a:extLst>
                        <a:ext uri="{28A0092B-C50C-407E-A947-70E740481C1C}">
                          <a14:useLocalDpi xmlns:a14="http://schemas.microsoft.com/office/drawing/2010/main" val="0"/>
                        </a:ext>
                      </a:extLst>
                    </a:blip>
                    <a:srcRect l="13251" t="24030" r="23151" b="22255"/>
                    <a:stretch>
                      <a:fillRect/>
                    </a:stretch>
                  </pic:blipFill>
                  <pic:spPr bwMode="auto">
                    <a:xfrm>
                      <a:off x="0" y="0"/>
                      <a:ext cx="4193540" cy="2002155"/>
                    </a:xfrm>
                    <a:prstGeom prst="rect">
                      <a:avLst/>
                    </a:prstGeom>
                    <a:noFill/>
                    <a:ln>
                      <a:noFill/>
                    </a:ln>
                  </pic:spPr>
                </pic:pic>
              </a:graphicData>
            </a:graphic>
          </wp:inline>
        </w:drawing>
      </w:r>
    </w:p>
    <w:p w:rsidR="00564337" w:rsidRPr="00564337" w:rsidRDefault="00564337" w:rsidP="009F1008">
      <w:pPr>
        <w:spacing w:line="260" w:lineRule="atLeast"/>
        <w:ind w:left="432" w:right="432"/>
        <w:rPr>
          <w:rFonts w:ascii="Palatino Linotype" w:hAnsi="Palatino Linotype" w:cs="Calibri"/>
          <w:color w:val="0070C0"/>
          <w:sz w:val="18"/>
          <w:szCs w:val="18"/>
        </w:rPr>
      </w:pPr>
      <w:r w:rsidRPr="00564337">
        <w:rPr>
          <w:rFonts w:ascii="Palatino Linotype" w:hAnsi="Palatino Linotype" w:cs="Calibri"/>
          <w:b/>
          <w:sz w:val="18"/>
          <w:szCs w:val="18"/>
        </w:rPr>
        <w:t>Figure 4.</w:t>
      </w:r>
      <w:r w:rsidRPr="00564337">
        <w:rPr>
          <w:rFonts w:ascii="Palatino Linotype" w:hAnsi="Palatino Linotype" w:cs="Calibri"/>
          <w:sz w:val="18"/>
          <w:szCs w:val="18"/>
        </w:rPr>
        <w:t xml:space="preserve"> Comparing rates and content to genome size. </w:t>
      </w:r>
      <w:r w:rsidR="009F1008" w:rsidRPr="009F1008">
        <w:rPr>
          <w:rFonts w:ascii="Palatino Linotype" w:hAnsi="Palatino Linotype" w:cs="Calibri"/>
          <w:b/>
          <w:bCs/>
          <w:sz w:val="18"/>
          <w:szCs w:val="18"/>
        </w:rPr>
        <w:t>(a)</w:t>
      </w:r>
      <w:r w:rsidR="009F1008">
        <w:rPr>
          <w:rFonts w:ascii="Palatino Linotype" w:hAnsi="Palatino Linotype" w:cs="Calibri"/>
          <w:sz w:val="18"/>
          <w:szCs w:val="18"/>
        </w:rPr>
        <w:t xml:space="preserve"> </w:t>
      </w:r>
      <w:r w:rsidRPr="00564337">
        <w:rPr>
          <w:rFonts w:ascii="Palatino Linotype" w:hAnsi="Palatino Linotype" w:cs="Calibri"/>
          <w:sz w:val="18"/>
          <w:szCs w:val="18"/>
        </w:rPr>
        <w:t xml:space="preserve">The relationship between microsatellite content in Mbp and the genome size in Mbp for each species. </w:t>
      </w:r>
      <w:r w:rsidR="009F1008" w:rsidRPr="009F1008">
        <w:rPr>
          <w:rFonts w:ascii="Palatino Linotype" w:hAnsi="Palatino Linotype" w:cs="Calibri"/>
          <w:b/>
          <w:bCs/>
          <w:sz w:val="18"/>
          <w:szCs w:val="18"/>
        </w:rPr>
        <w:t>(b)</w:t>
      </w:r>
      <w:r w:rsidRPr="00564337">
        <w:rPr>
          <w:rFonts w:ascii="Palatino Linotype" w:hAnsi="Palatino Linotype" w:cs="Calibri"/>
          <w:sz w:val="18"/>
          <w:szCs w:val="18"/>
        </w:rPr>
        <w:t xml:space="preserve"> The relationship between microsatellite evolution rates and the genome size in Mbp for each species.</w:t>
      </w:r>
    </w:p>
    <w:p w:rsidR="00A1535E" w:rsidRPr="00A1535E" w:rsidRDefault="00A1535E" w:rsidP="00A1535E">
      <w:pPr>
        <w:pStyle w:val="MDPI22heading2"/>
        <w:spacing w:before="0"/>
      </w:pPr>
    </w:p>
    <w:p w:rsidR="006E06CC" w:rsidRPr="00A1535E" w:rsidRDefault="006E06CC" w:rsidP="00A1535E">
      <w:pPr>
        <w:pStyle w:val="MDPI22heading2"/>
        <w:spacing w:before="0"/>
        <w:rPr>
          <w:b/>
          <w:bCs/>
          <w:i w:val="0"/>
          <w:iCs/>
        </w:rPr>
      </w:pPr>
      <w:r w:rsidRPr="00A1535E">
        <w:rPr>
          <w:b/>
          <w:bCs/>
          <w:i w:val="0"/>
          <w:iCs/>
        </w:rPr>
        <w:t>4. Discussion</w:t>
      </w:r>
    </w:p>
    <w:p w:rsidR="00856DFE"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sz w:val="20"/>
        </w:rPr>
        <w:t>While most other studies have focused on microsatellite content and rates of evolution across specific taxa, we have investigated several possible predictors that may account for different microsatellite dynamics among orders of insects. We investigated the impact of chromosome number, centromere type, and genome size on microsatellite content and rates of evolution. We find significant differences in the microsatellite content among taxa, even those closely related. We also find that across all sequenced genomes microsatellite content scales with genome size. Finally, we show that species with monocentric chromosomes have significantly higher rates of microsatellite evolution.</w:t>
      </w:r>
    </w:p>
    <w:p w:rsidR="009A2357" w:rsidRPr="00A1535E" w:rsidRDefault="009A2357" w:rsidP="00564337">
      <w:pPr>
        <w:spacing w:line="260" w:lineRule="atLeast"/>
        <w:ind w:firstLine="420"/>
        <w:rPr>
          <w:rFonts w:ascii="Palatino Linotype" w:hAnsi="Palatino Linotype" w:cs="Calibri"/>
          <w:sz w:val="20"/>
        </w:rPr>
      </w:pPr>
      <w:r w:rsidRPr="00A1535E">
        <w:rPr>
          <w:rFonts w:ascii="Palatino Linotype" w:hAnsi="Palatino Linotype" w:cs="Calibri"/>
          <w:bCs/>
          <w:i/>
          <w:sz w:val="20"/>
        </w:rPr>
        <w:t>The impacts of genome assembly quality:</w:t>
      </w:r>
      <w:r w:rsidRPr="00A1535E">
        <w:rPr>
          <w:rFonts w:ascii="Palatino Linotype" w:hAnsi="Palatino Linotype" w:cs="Calibri"/>
          <w:sz w:val="20"/>
        </w:rPr>
        <w:t xml:space="preserve"> One of our initial questions in using genome assemblies to understand microsatellite evolution was the potential impact of assembly quality on downstream analyses. We addressed this question using two datasets. First, we analyzed data from a previous microsatellite study using vertebrate genomes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&lt;EndNote&gt;&lt;Cite&gt;&lt;Author&gt;Adams&lt;/Author&gt;&lt;Year&gt;2016&lt;/Year&gt;&lt;RecNum&gt;2511&lt;/RecNum&gt;&lt;DisplayText&gt;&lt;style size="10"&gt;[26]&lt;/style&gt;&lt;/DisplayText&gt;&lt;record&gt;&lt;rec-number&gt;2511&lt;/rec-number&gt;&lt;foreign-keys&gt;&lt;key app="EN" db-id="20tzrfeaqpde50e5e2dvtwp7sr5fsss0txe9" timestamp="1470772319"&gt;2511&lt;/key&gt;&lt;/foreign-keys&gt;&lt;ref-type name="Journal Article"&gt;17&lt;/ref-type&gt;&lt;contributors&gt;&lt;authors&gt;&lt;author&gt;Adams, R. H.&lt;/author&gt;&lt;author&gt;Blackmon, H.&lt;/author&gt;&lt;author&gt;Reyes-Velasco, J.&lt;/author&gt;&lt;author&gt;Schield, D. R.&lt;/author&gt;&lt;author&gt;Card, D. C.&lt;/author&gt;&lt;author&gt;Andrew, A. &lt;/author&gt;&lt;author&gt;Castoe, T. A.&lt;/author&gt;&lt;/authors&gt;&lt;/contributors&gt;&lt;titles&gt;&lt;title&gt;Microsatellite landscape evolutionary dynamics across 450 million years of vertebrate genome evolution.&lt;/title&gt;&lt;secondary-title&gt;Genome&lt;/secondary-title&gt;&lt;/titles&gt;&lt;periodical&gt;&lt;full-title&gt;Genome&lt;/full-title&gt;&lt;/periodical&gt;&lt;pages&gt;295-310&lt;/pages&gt;&lt;volume&gt;59&lt;/volume&gt;&lt;number&gt;5&lt;/number&gt;&lt;dates&gt;&lt;year&gt;2016&lt;/year&gt;&lt;/dates&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[26]</w:t>
      </w:r>
      <w:r w:rsidRPr="00A1535E">
        <w:rPr>
          <w:rFonts w:ascii="Palatino Linotype" w:hAnsi="Palatino Linotype" w:cs="Calibri"/>
          <w:sz w:val="20"/>
        </w:rPr>
        <w:fldChar w:fldCharType="end"/>
      </w:r>
      <w:r w:rsidRPr="00A1535E">
        <w:rPr>
          <w:rFonts w:ascii="Palatino Linotype" w:hAnsi="Palatino Linotype" w:cs="Calibri"/>
          <w:sz w:val="20"/>
        </w:rPr>
        <w:t xml:space="preserve">. Then, we evaluated the inference of microsatellites across all sequenced insect genomes. Our results demonstrate that for the vertebrate data, microsatellite content inference is not biased by any quality metric we analyzed. In contrast, for insect genomes, we found that assemblies with very low BUSCO scores exhibited an exceedingly wide range of microsatellites. This pattern could be a result of some genomes with exceptionally large amounts of repetitive elements being both difficult to assemble and greatly enriched for microsatellites. However, the fact that genomes with these low BUSCO scores exhibit both higher and lower microsatellite content than is typical of well-assembled genomes suggests that this may be an artifact of a poor assembly. Furthermore, these species do not all have larger genomes than is typical for their clades which would be expected if the pattern is driven by a massive expansion of repetitive elements. Based on this logic, we excluded genomes with low BUSCO scores and suggest that future studies ensure that any genome used for investigations of microsatellite content have a BUSCO score in excess of 90 to ensure that the results reflect biological reality rather than the poor quality of the assembly. </w:t>
      </w:r>
    </w:p>
    <w:p w:rsidR="009A2357" w:rsidRPr="00A1535E" w:rsidRDefault="009A2357" w:rsidP="00A1535E">
      <w:pPr>
        <w:spacing w:line="260" w:lineRule="atLeast"/>
        <w:rPr>
          <w:rFonts w:ascii="Palatino Linotype" w:hAnsi="Palatino Linotype" w:cs="Calibri"/>
          <w:sz w:val="20"/>
        </w:rPr>
      </w:pPr>
      <w:r w:rsidRPr="00A1535E">
        <w:rPr>
          <w:rFonts w:ascii="Palatino Linotype" w:hAnsi="Palatino Linotype" w:cs="Calibri"/>
          <w:b/>
          <w:sz w:val="20"/>
        </w:rPr>
        <w:t>Traits</w:t>
      </w:r>
    </w:p>
    <w:p w:rsidR="00856DFE"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i/>
          <w:sz w:val="20"/>
        </w:rPr>
        <w:t>Centromere type</w:t>
      </w:r>
      <w:r w:rsidRPr="00A1535E">
        <w:rPr>
          <w:rFonts w:ascii="Palatino Linotype" w:hAnsi="Palatino Linotype" w:cs="Calibri"/>
          <w:sz w:val="20"/>
        </w:rPr>
        <w:t xml:space="preserve">: Theoretical work has shown that microsatellites should expand in regions such as the centromere where there is suppression of recombination and weak selective pressure on the </w:t>
      </w:r>
      <w:r w:rsidRPr="00A1535E">
        <w:rPr>
          <w:rFonts w:ascii="Palatino Linotype" w:hAnsi="Palatino Linotype" w:cs="Calibri"/>
          <w:sz w:val="20"/>
        </w:rPr>
        <w:lastRenderedPageBreak/>
        <w:t xml:space="preserve">array length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&lt;EndNote&gt;&lt;Cite&gt;&lt;Author&gt;Stephan&lt;/Author&gt;&lt;Year&gt;1986&lt;/Year&gt;&lt;RecNum&gt;2832&lt;/RecNum&gt;&lt;DisplayText&gt;&lt;style size="10"&gt;[48]&lt;/style&gt;&lt;/DisplayText&gt;&lt;record&gt;&lt;rec-number&gt;2832&lt;/rec-number&gt;&lt;foreign-keys&gt;&lt;key app="EN" db-id="20tzrfeaqpde50e5e2dvtwp7sr5fsss0txe9" timestamp="1591202335"&gt;2832&lt;/key&gt;&lt;/foreign-keys&gt;&lt;ref-type name="Journal Article"&gt;17&lt;/ref-type&gt;&lt;contributors&gt;&lt;authors&gt;&lt;author&gt;Stephan, Wolfgang&lt;/author&gt;&lt;/authors&gt;&lt;/contributors&gt;&lt;titles&gt;&lt;title&gt;Recombination and the evolution of satellite DNA&lt;/title&gt;&lt;secondary-title&gt;Genetics Research&lt;/secondary-title&gt;&lt;/titles&gt;&lt;periodical&gt;&lt;full-title&gt;Genetics Research&lt;/full-title&gt;&lt;/periodical&gt;&lt;pages&gt;167-174&lt;/pages&gt;&lt;volume&gt;47&lt;/volume&gt;&lt;number&gt;3&lt;/number&gt;&lt;dates&gt;&lt;year&gt;1986&lt;/year&gt;&lt;/dates&gt;&lt;isbn&gt;1469-5073&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[48]</w:t>
      </w:r>
      <w:r w:rsidRPr="00A1535E">
        <w:rPr>
          <w:rFonts w:ascii="Palatino Linotype" w:hAnsi="Palatino Linotype" w:cs="Calibri"/>
          <w:sz w:val="20"/>
        </w:rPr>
        <w:fldChar w:fldCharType="end"/>
      </w:r>
      <w:r w:rsidRPr="00A1535E">
        <w:rPr>
          <w:rFonts w:ascii="Palatino Linotype" w:hAnsi="Palatino Linotype" w:cs="Calibri"/>
          <w:sz w:val="20"/>
        </w:rPr>
        <w:t xml:space="preserve">. Two primary types of centromeres are present across the tree of life and within insects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&lt;EndNote&gt;&lt;Cite&gt;&lt;Author&gt;Blackmon&lt;/Author&gt;&lt;Year&gt;2017&lt;/Year&gt;&lt;RecNum&gt;290&lt;/RecNum&gt;&lt;DisplayText&gt;&lt;style size="10"&gt;[40,49]&lt;/style&gt;&lt;/DisplayText&gt;&lt;record&gt;&lt;rec-number&gt;290&lt;/rec-number&gt;&lt;foreign-keys&gt;&lt;key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Cite&gt;&lt;Author&gt;Melters&lt;/Author&gt;&lt;Year&gt;2012&lt;/Year&gt;&lt;RecNum&gt;327&lt;/RecNum&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[40,49]</w:t>
      </w:r>
      <w:r w:rsidRPr="00A1535E">
        <w:rPr>
          <w:rFonts w:ascii="Palatino Linotype" w:hAnsi="Palatino Linotype" w:cs="Calibri"/>
          <w:sz w:val="20"/>
        </w:rPr>
        <w:fldChar w:fldCharType="end"/>
      </w:r>
      <w:r w:rsidRPr="00A1535E">
        <w:rPr>
          <w:rFonts w:ascii="Palatino Linotype" w:hAnsi="Palatino Linotype" w:cs="Calibri"/>
          <w:sz w:val="20"/>
        </w:rPr>
        <w:t xml:space="preserve">. Holocentric chromosomes where centromere function is diffuse across the entire length of the chromosome and monocentric chromosomes where a single region of the chromosome functions as the centromere. These two types of centromeres lead to fundamentally different behavior with regard to resolution of chiasma that form during recombination. While monocentric chromosomes can segregate with multiple chiasma even in a single arm, holocentric chromosomes with more than one or two chiasma per chromosome fail to segregate properly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&lt;EndNote&gt;&lt;Cite&gt;&lt;Author&gt;Nokkala&lt;/Author&gt;&lt;Year&gt;2004&lt;/Year&gt;&lt;RecNum&gt;442&lt;/RecNum&gt;&lt;DisplayText&gt;&lt;style size="10"&gt;[50]&lt;/style&gt;&lt;/DisplayText&gt;&lt;record&gt;&lt;rec-number&gt;442&lt;/rec-number&gt;&lt;foreign-keys&gt;&lt;key app="EN" db-id="psx5aavda22efleatx5vaweatapzwapastxd" timestamp="1591683991" guid="46ea6729-7e93-4eb2-8468-7459a5cfb93b"&gt;442&lt;/key&gt;&lt;/foreign-keys&gt;&lt;ref-type name="Journal Article"&gt;17&lt;/ref-type&gt;&lt;contributors&gt;&lt;authors&gt;&lt;author&gt;Nokkala, S&lt;/author&gt;&lt;author&gt;Kuznetsova, VG&lt;/author&gt;&lt;author&gt;Maryanska-Nadachowska, A&lt;/author&gt;&lt;author&gt;Nokkala, C&lt;/author&gt;&lt;/authors&gt;&lt;/contributors&gt;&lt;titles&gt;&lt;title&gt;Holocentric chromosomes in meiosis. I. Restriction of the number of chiasmata in bivalents&lt;/title&gt;&lt;secondary-title&gt;Chromosome Research&lt;/secondary-title&gt;&lt;/titles&gt;&lt;periodical&gt;&lt;full-title&gt;Chromosome Research&lt;/full-title&gt;&lt;/periodical&gt;&lt;pages&gt;733-739&lt;/pages&gt;&lt;volume&gt;12&lt;/volume&gt;&lt;number&gt;7&lt;/number&gt;&lt;dates&gt;&lt;year&gt;2004&lt;/year&gt;&lt;/dates&gt;&lt;isbn&gt;0967-3849&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[50]</w:t>
      </w:r>
      <w:r w:rsidRPr="00A1535E">
        <w:rPr>
          <w:rFonts w:ascii="Palatino Linotype" w:hAnsi="Palatino Linotype" w:cs="Calibri"/>
          <w:sz w:val="20"/>
        </w:rPr>
        <w:fldChar w:fldCharType="end"/>
      </w:r>
      <w:r w:rsidRPr="00A1535E">
        <w:rPr>
          <w:rFonts w:ascii="Palatino Linotype" w:hAnsi="Palatino Linotype" w:cs="Calibri"/>
          <w:sz w:val="20"/>
        </w:rPr>
        <w:t xml:space="preserve">. Furthermore, centromeric regions in both types of chromosomes exhibit reduced recombination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&lt;EndNote&gt;&lt;Cite&gt;&lt;Author&gt;Cuacos&lt;/Author&gt;&lt;Year&gt;2015&lt;/Year&gt;&lt;RecNum&gt;443&lt;/RecNum&gt;&lt;DisplayText&gt;&lt;style size="10"&gt;[51]&lt;/style&gt;&lt;/DisplayText&gt;&lt;record&gt;&lt;rec-number&gt;443&lt;/rec-number&gt;&lt;foreign-keys&gt;&lt;key app="EN" db-id="psx5aavda22efleatx5vaweatapzwapastxd" timestamp="1591683991" guid="0247b823-e2c5-41cb-87e8-ace1b916f506"&gt;443&lt;/key&gt;&lt;/foreign-keys&gt;&lt;ref-type name="Journal Article"&gt;17&lt;/ref-type&gt;&lt;contributors&gt;&lt;authors&gt;&lt;author&gt;Cuacos, Maria&lt;/author&gt;&lt;author&gt;Franklin, H&lt;/author&gt;&lt;author&gt;Chris, F&lt;/author&gt;&lt;author&gt;Heckmann, Stefan&lt;/author&gt;&lt;/authors&gt;&lt;/contributors&gt;&lt;titles&gt;&lt;title&gt;Atypical centromeres in plants—what they can tell us&lt;/title&gt;&lt;secondary-title&gt;Frontiers in plant science&lt;/secondary-title&gt;&lt;/titles&gt;&lt;periodical&gt;&lt;full-title&gt;Frontiers in plant science&lt;/full-title&gt;&lt;/periodical&gt;&lt;pages&gt;913&lt;/pages&gt;&lt;volume&gt;6&lt;/volume&gt;&lt;dates&gt;&lt;year&gt;2015&lt;/year&gt;&lt;/dates&gt;&lt;isbn&gt;1664-462X&lt;/isbn&gt;&lt;urls&gt;&lt;/urls&gt;&lt;/record&gt;&lt;/Cite&gt;&lt;/EndNote&gt;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[51]</w:t>
      </w:r>
      <w:r w:rsidRPr="00A1535E">
        <w:rPr>
          <w:rFonts w:ascii="Palatino Linotype" w:hAnsi="Palatino Linotype" w:cs="Calibri"/>
          <w:sz w:val="20"/>
        </w:rPr>
        <w:fldChar w:fldCharType="end"/>
      </w:r>
      <w:r w:rsidRPr="00A1535E">
        <w:rPr>
          <w:rFonts w:ascii="Palatino Linotype" w:hAnsi="Palatino Linotype" w:cs="Calibri"/>
          <w:sz w:val="20"/>
        </w:rPr>
        <w:t xml:space="preserve">.This difference could lead to more regions of low recombination in holocentric species and greater opportunity for expansion of microsatellites relative to monocentric species.  This might suggest that holocentric species would have larger genomes due to the proliferation of microsatellites and other repetitive sequences. However, analyses across a range of taxa do not support a difference in genome size between holo- and monocentric species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&lt;EndNote&gt;&lt;Cite&gt;&lt;Author&gt;Mandrioli&lt;/Author&gt;&lt;Year&gt;2012&lt;/Year&gt;&lt;RecNum&gt;444&lt;/RecNum&gt;&lt;DisplayText&gt;&lt;style size="10"&gt;[52]&lt;/style&gt;&lt;/DisplayText&gt;&lt;record&gt;&lt;rec-number&gt;444&lt;/rec-number&gt;&lt;foreign-keys&gt;&lt;key app="EN" db-id="psx5aavda22efleatx5vaweatapzwapastxd" timestamp="1591683991" guid="0f96782a-104c-43e0-b87d-e664b8f00dd9"&gt;444&lt;/key&gt;&lt;/foreign-keys&gt;&lt;ref-type name="Journal Article"&gt;17&lt;/ref-type&gt;&lt;contributors&gt;&lt;authors&gt;&lt;author&gt;Mandrioli, Mauro&lt;/author&gt;&lt;author&gt;Carlo Manicardi, Gian&lt;/author&gt;&lt;/authors&gt;&lt;/contributors&gt;&lt;titles&gt;&lt;title&gt;Unlocking holocentric chromosomes: new perspectives from comparative and functional genomics?&lt;/title&gt;&lt;secondary-title&gt;Current genomics&lt;/secondary-title&gt;&lt;/titles&gt;&lt;periodical&gt;&lt;full-title&gt;Current genomics&lt;/full-title&gt;&lt;/periodical&gt;&lt;pages&gt;343-349&lt;/pages&gt;&lt;volume&gt;13&lt;/volume&gt;&lt;number&gt;5&lt;/number&gt;&lt;dates&gt;&lt;year&gt;2012&lt;/year&gt;&lt;/dates&gt;&lt;isbn&gt;1389-2029&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[52]</w:t>
      </w:r>
      <w:r w:rsidRPr="00A1535E">
        <w:rPr>
          <w:rFonts w:ascii="Palatino Linotype" w:hAnsi="Palatino Linotype" w:cs="Calibri"/>
          <w:sz w:val="20"/>
        </w:rPr>
        <w:fldChar w:fldCharType="end"/>
      </w:r>
      <w:r w:rsidRPr="00A1535E">
        <w:rPr>
          <w:rFonts w:ascii="Palatino Linotype" w:hAnsi="Palatino Linotype" w:cs="Calibri"/>
          <w:sz w:val="20"/>
        </w:rPr>
        <w:t xml:space="preserve">. </w:t>
      </w:r>
      <w:ins w:id="89" w:author="Microsoft Office User" w:date="2020-07-29T11:29:00Z">
        <w:r w:rsidR="00494900">
          <w:rPr>
            <w:rFonts w:ascii="Palatino Linotype" w:hAnsi="Palatino Linotype" w:cs="Calibri"/>
            <w:sz w:val="20"/>
          </w:rPr>
          <w:t>A</w:t>
        </w:r>
      </w:ins>
      <w:ins w:id="90" w:author="Microsoft Office User" w:date="2020-07-29T11:30:00Z">
        <w:r w:rsidR="00BC228F">
          <w:rPr>
            <w:rFonts w:ascii="Palatino Linotype" w:hAnsi="Palatino Linotype" w:cs="Calibri"/>
            <w:sz w:val="20"/>
          </w:rPr>
          <w:t xml:space="preserve">nother potential cause of differences in monocentric and holocentric species could be differences in DNA replication mechanics. Some evidence suggests that the distribution of translation initiation sites may vary </w:t>
        </w:r>
      </w:ins>
      <w:ins w:id="91" w:author="Microsoft Office User" w:date="2020-07-29T11:31:00Z">
        <w:r w:rsidR="00BC228F">
          <w:rPr>
            <w:rFonts w:ascii="Palatino Linotype" w:hAnsi="Palatino Linotype" w:cs="Calibri"/>
            <w:sz w:val="20"/>
          </w:rPr>
          <w:t xml:space="preserve">based on centromere type </w:t>
        </w:r>
      </w:ins>
      <w:r w:rsidR="00BC228F">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&lt;EndNote&gt;&lt;Cite&gt;&lt;Author&gt;Heckmann&lt;/Author&gt;&lt;Year&gt;2013&lt;/Year&gt;&lt;RecNum&gt;332&lt;/RecNum&gt;&lt;DisplayText&gt;&lt;style size="10"&gt;[53]&lt;/style&gt;&lt;/DisplayText&gt;&lt;record&gt;&lt;rec-number&gt;332&lt;/rec-number&gt;&lt;foreign-keys&gt;&lt;key app="EN" db-id="psx5aavda22efleatx5vaweatapzwapastxd" timestamp="1584947077" guid="7018ac16-0b4f-4856-838b-8974976df1de"&gt;332&lt;/key&gt;&lt;/foreign-keys&gt;&lt;ref-type name="Journal Article"&gt;17&lt;/ref-type&gt;&lt;contributors&gt;&lt;authors&gt;&lt;author&gt;Heckmann, Stefan&lt;/author&gt;&lt;author&gt;Macas, Jiri&lt;/author&gt;&lt;author&gt;Kumke, Katrin&lt;/author&gt;&lt;author&gt;Fuchs, Jörg&lt;/author&gt;&lt;author&gt;Schubert, Veit&lt;/author&gt;&lt;author&gt;Ma, Lu&lt;/author&gt;&lt;author&gt;Novak, Petr&lt;/author&gt;&lt;author&gt;Neumann, Pavel&lt;/author&gt;&lt;author&gt;Taudien, Stefan&lt;/author&gt;&lt;author&gt;Platzer, Matthias&lt;/author&gt;&lt;/authors&gt;&lt;/contributors&gt;&lt;titles&gt;&lt;title&gt;The holocentric species L uzula elegans shows interplay between centromere and large‐scale genome organization&lt;/title&gt;&lt;secondary-title&gt;The Plant Journal&lt;/secondary-title&gt;&lt;/titles&gt;&lt;periodical&gt;&lt;full-title&gt;The Plant Journal&lt;/full-title&gt;&lt;/periodical&gt;&lt;pages&gt;555-565&lt;/pages&gt;&lt;volume&gt;73&lt;/volume&gt;&lt;number&gt;4&lt;/number&gt;&lt;dates&gt;&lt;year&gt;2013&lt;/year&gt;&lt;/dates&gt;&lt;isbn&gt;0960-7412&lt;/isbn&gt;&lt;urls&gt;&lt;/urls&gt;&lt;/record&gt;&lt;/Cite&gt;&lt;/EndNote&gt;</w:instrText>
      </w:r>
      <w:r w:rsidR="00BC228F">
        <w:rPr>
          <w:rFonts w:ascii="Palatino Linotype" w:hAnsi="Palatino Linotype" w:cs="Calibri"/>
          <w:sz w:val="20"/>
        </w:rPr>
        <w:fldChar w:fldCharType="separate"/>
      </w:r>
      <w:r w:rsidR="008D249A">
        <w:rPr>
          <w:rFonts w:ascii="Palatino Linotype" w:hAnsi="Palatino Linotype" w:cs="Calibri"/>
          <w:noProof/>
          <w:sz w:val="20"/>
        </w:rPr>
        <w:t>[53]</w:t>
      </w:r>
      <w:r w:rsidR="00BC228F">
        <w:rPr>
          <w:rFonts w:ascii="Palatino Linotype" w:hAnsi="Palatino Linotype" w:cs="Calibri"/>
          <w:sz w:val="20"/>
        </w:rPr>
        <w:fldChar w:fldCharType="end"/>
      </w:r>
      <w:ins w:id="92" w:author="Microsoft Office User" w:date="2020-07-29T11:31:00Z">
        <w:r w:rsidR="00BC228F">
          <w:rPr>
            <w:rFonts w:ascii="Palatino Linotype" w:hAnsi="Palatino Linotype" w:cs="Calibri"/>
            <w:sz w:val="20"/>
          </w:rPr>
          <w:t>.</w:t>
        </w:r>
      </w:ins>
    </w:p>
    <w:p w:rsidR="00856DFE"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sz w:val="20"/>
        </w:rPr>
        <w:t xml:space="preserve">In some plants and nematodes, studies have suggested a higher satellite content in species with holocentric chromosomes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&lt;EndNote&gt;&lt;Cite&gt;&lt;Author&gt;Heckmann&lt;/Author&gt;&lt;Year&gt;2013&lt;/Year&gt;&lt;RecNum&gt;332&lt;/RecNum&gt;&lt;DisplayText&gt;&lt;style size="10"&gt;[53,54]&lt;/style&gt;&lt;/DisplayText&gt;&lt;record&gt;&lt;rec-number&gt;332&lt;/rec-number&gt;&lt;foreign-keys&gt;&lt;key app="EN" db-id="psx5aavda22efleatx5vaweatapzwapastxd" timestamp="1584947077" guid="7018ac16-0b4f-4856-838b-8974976df1de"&gt;332&lt;/key&gt;&lt;/foreign-keys&gt;&lt;ref-type name="Journal Article"&gt;17&lt;/ref-type&gt;&lt;contributors&gt;&lt;authors&gt;&lt;author&gt;Heckmann, Stefan&lt;/author&gt;&lt;author&gt;Macas, Jiri&lt;/author&gt;&lt;author&gt;Kumke, Katrin&lt;/author&gt;&lt;author&gt;Fuchs, Jörg&lt;/author&gt;&lt;author&gt;Schubert, Veit&lt;/author&gt;&lt;author&gt;Ma, Lu&lt;/author&gt;&lt;author&gt;Novak, Petr&lt;/author&gt;&lt;author&gt;Neumann, Pavel&lt;/author&gt;&lt;author&gt;Taudien, Stefan&lt;/author&gt;&lt;author&gt;Platzer, Matthias&lt;/author&gt;&lt;/authors&gt;&lt;/contributors&gt;&lt;titles&gt;&lt;title&gt;The holocentric species L uzula elegans shows interplay between centromere and large‐scale genome organization&lt;/title&gt;&lt;secondary-title&gt;The Plant Journal&lt;/secondary-title&gt;&lt;/titles&gt;&lt;periodical&gt;&lt;full-title&gt;The Plant Journal&lt;/full-title&gt;&lt;/periodical&gt;&lt;pages&gt;555-565&lt;/pages&gt;&lt;volume&gt;73&lt;/volume&gt;&lt;number&gt;4&lt;/number&gt;&lt;dates&gt;&lt;year&gt;2013&lt;/year&gt;&lt;/dates&gt;&lt;isbn&gt;0960-7412&lt;/isbn&gt;&lt;urls&gt;&lt;/urls&gt;&lt;/record&gt;&lt;/Cite&gt;&lt;Cite&gt;&lt;Author&gt;Subirana&lt;/Author&gt;&lt;Year&gt;2013&lt;/Year&gt;&lt;RecNum&gt;2860&lt;/RecNum&gt;&lt;record&gt;&lt;rec-number&gt;2860&lt;/rec-number&gt;&lt;foreign-keys&gt;&lt;key app="EN" db-id="20tzrfeaqpde50e5e2dvtwp7sr5fsss0txe9" timestamp="1591810180"&gt;2860&lt;/key&gt;&lt;/foreign-keys&gt;&lt;ref-type name="Journal Article"&gt;17&lt;/ref-type&gt;&lt;contributors&gt;&lt;authors&gt;&lt;author&gt;Subirana, Juan A&lt;/author&gt;&lt;author&gt;Messeguer, Xavier&lt;/author&gt;&lt;/authors&gt;&lt;/contributors&gt;&lt;titles&gt;&lt;title&gt;A satellite explosion in the genome of holocentric nematodes&lt;/title&gt;&lt;secondary-title&gt;PLoS One&lt;/secondary-title&gt;&lt;/titles&gt;&lt;periodical&gt;&lt;full-title&gt;PLoS One&lt;/full-title&gt;&lt;/periodical&gt;&lt;volume&gt;8&lt;/volume&gt;&lt;number&gt;4&lt;/number&gt;&lt;dates&gt;&lt;year&gt;2013&lt;/year&gt;&lt;/dates&gt;&lt;urls&gt;&lt;/urls&gt;&lt;/record&gt;&lt;/Cite&gt;&lt;/EndNote&gt;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[53,54]</w:t>
      </w:r>
      <w:r w:rsidRPr="00A1535E">
        <w:rPr>
          <w:rFonts w:ascii="Palatino Linotype" w:hAnsi="Palatino Linotype" w:cs="Calibri"/>
          <w:sz w:val="20"/>
        </w:rPr>
        <w:fldChar w:fldCharType="end"/>
      </w:r>
      <w:r w:rsidRPr="00A1535E">
        <w:rPr>
          <w:rFonts w:ascii="Palatino Linotype" w:hAnsi="Palatino Linotype" w:cs="Calibri"/>
          <w:sz w:val="20"/>
        </w:rPr>
        <w:t>. However, the most taxonomically broad analysis of satellite content comparing holocentric and monocentric species supports lower satellite content in holocentric species</w:t>
      </w:r>
      <w:r w:rsidR="00856DFE" w:rsidRPr="00A1535E">
        <w:rPr>
          <w:rFonts w:ascii="Palatino Linotype" w:hAnsi="Palatino Linotype" w:cs="Calibri"/>
          <w:sz w:val="20"/>
        </w:rPr>
        <w:t xml:space="preserve">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&lt;EndNote&gt;&lt;Cite&gt;&lt;Author&gt;Melters&lt;/Author&gt;&lt;Year&gt;2013&lt;/Year&gt;&lt;RecNum&gt;328&lt;/RecNum&gt;&lt;DisplayText&gt;&lt;style size="10"&gt;[55]&lt;/style&gt;&lt;/DisplayText&gt;&lt;record&gt;&lt;rec-number&gt;328&lt;/rec-number&gt;&lt;foreign-keys&gt;&lt;key app="EN" db-id="psx5aavda22efleatx5vaweatapzwapastxd" timestamp="1584946299" guid="d6e4aa8c-9d54-48aa-9f1c-2069153e8486"&gt;328&lt;/key&gt;&lt;/foreign-keys&gt;&lt;ref-type name="Journal Article"&gt;17&lt;/ref-type&gt;&lt;contributors&gt;&lt;authors&gt;&lt;author&gt;Melters, Daniël P.&lt;/author&gt;&lt;author&gt;Bradnam, Keith R.&lt;/author&gt;&lt;author&gt;Young, Hugh A.&lt;/author&gt;&lt;author&gt;Telis, Natalie&lt;/author&gt;&lt;author&gt;May, Michael R.&lt;/author&gt;&lt;author&gt;Ruby, J. Graham&lt;/author&gt;&lt;author&gt;Sebra, Robert&lt;/author&gt;&lt;author&gt;Peluso, Paul&lt;/author&gt;&lt;author&gt;Eid, John&lt;/author&gt;&lt;author&gt;Rank, David&lt;/author&gt;&lt;author&gt;Garcia, José Fernando&lt;/author&gt;&lt;author&gt;DeRisi, Joseph L.&lt;/author&gt;&lt;author&gt;Smith, Timothy&lt;/author&gt;&lt;author&gt;Tobias, Christian&lt;/author&gt;&lt;author&gt;Ross-Ibarra, Jeffrey&lt;/author&gt;&lt;author&gt;Korf, Ian&lt;/author&gt;&lt;author&gt;Chan, Simon W. L.&lt;/author&gt;&lt;/authors&gt;&lt;/contributors&gt;&lt;titles&gt;&lt;title&gt;Comparative analysis of tandem repeats from hundreds of species reveals unique insights into centromere evolution&lt;/title&gt;&lt;secondary-title&gt;Genome Biology&lt;/secondary-title&gt;&lt;/titles&gt;&lt;periodical&gt;&lt;full-title&gt;Genome biology&lt;/full-title&gt;&lt;/periodical&gt;&lt;pages&gt;R10&lt;/pages&gt;&lt;volume&gt;14&lt;/volume&gt;&lt;number&gt;1&lt;/number&gt;&lt;dates&gt;&lt;year&gt;2013&lt;/year&gt;&lt;pub-dates&gt;&lt;date&gt;2013/01/30&lt;/date&gt;&lt;/pub-dates&gt;&lt;/dates&gt;&lt;isbn&gt;1474-760X&lt;/isbn&gt;&lt;urls&gt;&lt;related-urls&gt;&lt;url&gt;https://doi.org/10.1186/gb-2013-14-1-r10&lt;/url&gt;&lt;/related-urls&gt;&lt;/urls&gt;&lt;electronic-resource-num&gt;10.1186/gb-2013-14-1-r10&lt;/electronic-resource-num&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[55]</w:t>
      </w:r>
      <w:r w:rsidRPr="00A1535E">
        <w:rPr>
          <w:rFonts w:ascii="Palatino Linotype" w:hAnsi="Palatino Linotype" w:cs="Calibri"/>
          <w:sz w:val="20"/>
        </w:rPr>
        <w:fldChar w:fldCharType="end"/>
      </w:r>
      <w:r w:rsidRPr="00A1535E">
        <w:rPr>
          <w:rFonts w:ascii="Palatino Linotype" w:hAnsi="Palatino Linotype" w:cs="Calibri"/>
          <w:sz w:val="20"/>
        </w:rPr>
        <w:t>. These studies have focused on all satellite content and the results are largely driven by mini- or macrosatellites. Our results suggest that within insects there is no significant difference in microsatellite content when comparing holocentric and monocentric species. This suggests that microsatellites do not play a central role in defining centromeric regions and that the selective forces constraining microsatellite expansion may be similar regardless of the centromere type.</w:t>
      </w:r>
    </w:p>
    <w:p w:rsidR="00856DFE"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sz w:val="20"/>
        </w:rPr>
        <w:t xml:space="preserve">Based on the similarity in microsatellite content that we observe among holocentric and monocentric lineages, we hypothesized that they would also demonstrate similar rates of evolution. However, when we fit a Brownian motion model of evolution to microsatellite content, we infer consistently higher rates in monocentric species than in holocentric species. Examining the total microsatellite content of all species in our study we can see that the monocentric orders Hymenoptera and Diptera both exhibit a range of microsatellite content that exceeds all holocentric orders combined (Figure 2B). We suggest that these orders likely drive much of the signal for higher rates of microsatellite evolution in monocentric species.  However, not all monocentric clades exhibit high rates of microsatellite evolution; Coleoptera actually exhibits the lowest rate of microsatellite evolution of any order that we studied (Figure 2A). This highlights one of the dangers of comparative approaches that test for differences in rates of continuous trait evolution in two states of a discrete trait—a small portion of a phylogeny may contain such a strong signal that any binary trait mapped onto that portion of the phylogeny will be positively correlated with high rates. This is similar to the source of inflated rates of false positives that have recently caused upheaval in attempts to detect differential diversification under BiSSE models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&lt;EndNote&gt;&lt;Cite&gt;&lt;Author&gt;Rabosky&lt;/Author&gt;&lt;Year&gt;2015&lt;/Year&gt;&lt;RecNum&gt;2453&lt;/RecNum&gt;&lt;DisplayText&gt;&lt;style size="10"&gt;[56]&lt;/style&gt;&lt;/DisplayText&gt;&lt;record&gt;&lt;rec-number&gt;2453&lt;/rec-number&gt;&lt;foreign-keys&gt;&lt;key app="EN" db-id="20tzrfeaqpde50e5e2dvtwp7sr5fsss0txe9" timestamp="1457905233"&gt;2453&lt;/key&gt;&lt;/foreign-keys&gt;&lt;ref-type name="Journal Article"&gt;17&lt;/ref-type&gt;&lt;contributors&gt;&lt;authors&gt;&lt;author&gt;Rabosky, D. L.&lt;/author&gt;&lt;author&gt;Goldberg, E. E.&lt;/author&gt;&lt;/authors&gt;&lt;/contributors&gt;&lt;titles&gt;&lt;title&gt;Model inadequacy and mistaken inferences of trait-dependent speciation.&lt;/title&gt;&lt;secondary-title&gt;Syst Biol&lt;/secondary-title&gt;&lt;/titles&gt;&lt;periodical&gt;&lt;full-title&gt;Syst Biol&lt;/full-title&gt;&lt;/periodical&gt;&lt;pages&gt;340-355&lt;/pages&gt;&lt;volume&gt;64&lt;/volume&gt;&lt;number&gt;2&lt;/number&gt;&lt;dates&gt;&lt;year&gt;2015&lt;/year&gt;&lt;/dates&gt;&lt;urls&gt;&lt;/urls&gt;&lt;/record&gt;&lt;/Cite&gt;&lt;/EndNote&gt;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[56]</w:t>
      </w:r>
      <w:r w:rsidRPr="00A1535E">
        <w:rPr>
          <w:rFonts w:ascii="Palatino Linotype" w:hAnsi="Palatino Linotype" w:cs="Calibri"/>
          <w:sz w:val="20"/>
        </w:rPr>
        <w:fldChar w:fldCharType="end"/>
      </w:r>
      <w:r w:rsidRPr="00A1535E">
        <w:rPr>
          <w:rFonts w:ascii="Palatino Linotype" w:hAnsi="Palatino Linotype" w:cs="Calibri"/>
          <w:sz w:val="20"/>
        </w:rPr>
        <w:t>.</w:t>
      </w:r>
      <w:ins w:id="93" w:author="Microsoft Office User" w:date="2020-07-30T09:11:00Z">
        <w:r w:rsidR="00676B17">
          <w:rPr>
            <w:rFonts w:ascii="Palatino Linotype" w:hAnsi="Palatino Linotype" w:cs="Calibri"/>
            <w:sz w:val="20"/>
          </w:rPr>
          <w:t xml:space="preserve"> More broadly, the </w:t>
        </w:r>
      </w:ins>
      <w:ins w:id="94" w:author="Microsoft Office User" w:date="2020-07-30T09:12:00Z">
        <w:r w:rsidR="00676B17">
          <w:rPr>
            <w:rFonts w:ascii="Palatino Linotype" w:hAnsi="Palatino Linotype" w:cs="Calibri"/>
            <w:sz w:val="20"/>
          </w:rPr>
          <w:t xml:space="preserve">magnitude of variation we observe is striking and was not </w:t>
        </w:r>
      </w:ins>
      <w:ins w:id="95" w:author="Microsoft Office User" w:date="2020-07-30T09:13:00Z">
        <w:r w:rsidR="00DE2FDA">
          <w:rPr>
            <w:rFonts w:ascii="Palatino Linotype" w:hAnsi="Palatino Linotype" w:cs="Calibri"/>
            <w:sz w:val="20"/>
          </w:rPr>
          <w:t>fully</w:t>
        </w:r>
      </w:ins>
      <w:ins w:id="96" w:author="Microsoft Office User" w:date="2020-07-30T09:12:00Z">
        <w:r w:rsidR="00676B17">
          <w:rPr>
            <w:rFonts w:ascii="Palatino Linotype" w:hAnsi="Palatino Linotype" w:cs="Calibri"/>
            <w:sz w:val="20"/>
          </w:rPr>
          <w:t xml:space="preserve"> </w:t>
        </w:r>
      </w:ins>
      <w:ins w:id="97" w:author="Microsoft Office User" w:date="2020-07-30T09:13:00Z">
        <w:r w:rsidR="00DE2FDA">
          <w:rPr>
            <w:rFonts w:ascii="Palatino Linotype" w:hAnsi="Palatino Linotype" w:cs="Calibri"/>
            <w:sz w:val="20"/>
          </w:rPr>
          <w:t>explained</w:t>
        </w:r>
      </w:ins>
      <w:ins w:id="98" w:author="Microsoft Office User" w:date="2020-07-30T09:12:00Z">
        <w:r w:rsidR="00676B17">
          <w:rPr>
            <w:rFonts w:ascii="Palatino Linotype" w:hAnsi="Palatino Linotype" w:cs="Calibri"/>
            <w:sz w:val="20"/>
          </w:rPr>
          <w:t xml:space="preserve"> by any of the explanatory variables that we examined. This suggests that </w:t>
        </w:r>
        <w:r w:rsidR="00DE2FDA">
          <w:rPr>
            <w:rFonts w:ascii="Palatino Linotype" w:hAnsi="Palatino Linotype" w:cs="Calibri"/>
            <w:sz w:val="20"/>
          </w:rPr>
          <w:t>additional</w:t>
        </w:r>
        <w:r w:rsidR="00676B17">
          <w:rPr>
            <w:rFonts w:ascii="Palatino Linotype" w:hAnsi="Palatino Linotype" w:cs="Calibri"/>
            <w:sz w:val="20"/>
          </w:rPr>
          <w:t xml:space="preserve"> factors must play an important role in</w:t>
        </w:r>
        <w:r w:rsidR="00DE2FDA">
          <w:rPr>
            <w:rFonts w:ascii="Palatino Linotype" w:hAnsi="Palatino Linotype" w:cs="Calibri"/>
            <w:sz w:val="20"/>
          </w:rPr>
          <w:t xml:space="preserve"> </w:t>
        </w:r>
      </w:ins>
      <w:ins w:id="99" w:author="Microsoft Office User" w:date="2020-07-30T09:13:00Z">
        <w:r w:rsidR="00DE2FDA">
          <w:rPr>
            <w:rFonts w:ascii="Palatino Linotype" w:hAnsi="Palatino Linotype" w:cs="Calibri"/>
            <w:sz w:val="20"/>
          </w:rPr>
          <w:t>determining the observed differences among species.</w:t>
        </w:r>
      </w:ins>
    </w:p>
    <w:p w:rsidR="009A2357" w:rsidRPr="00A1535E" w:rsidRDefault="009A2357" w:rsidP="00564337">
      <w:pPr>
        <w:spacing w:line="260" w:lineRule="atLeast"/>
        <w:ind w:firstLine="420"/>
        <w:rPr>
          <w:rFonts w:ascii="Palatino Linotype" w:hAnsi="Palatino Linotype" w:cs="Calibri"/>
          <w:sz w:val="20"/>
        </w:rPr>
      </w:pPr>
      <w:r w:rsidRPr="00A1535E">
        <w:rPr>
          <w:rFonts w:ascii="Palatino Linotype" w:hAnsi="Palatino Linotype" w:cs="Calibri"/>
          <w:i/>
          <w:sz w:val="20"/>
        </w:rPr>
        <w:lastRenderedPageBreak/>
        <w:t>Chromosome number</w:t>
      </w:r>
      <w:r w:rsidRPr="00A1535E">
        <w:rPr>
          <w:rFonts w:ascii="Palatino Linotype" w:hAnsi="Palatino Linotype" w:cs="Calibri"/>
          <w:sz w:val="20"/>
        </w:rPr>
        <w:t xml:space="preserve">: Based on detailed analyses of Diptera genomes, microsatellites appear to be rare in heterochromatic portions of the genome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&lt;EndNote&gt;&lt;Cite&gt;&lt;Author&gt;Bachtrog&lt;/Author&gt;&lt;Year&gt;1999&lt;/Year&gt;&lt;RecNum&gt;2861&lt;/RecNum&gt;&lt;DisplayText&gt;&lt;style size="10"&gt;[57,58]&lt;/style&gt;&lt;/DisplayText&gt;&lt;record&gt;&lt;rec-number&gt;2861&lt;/rec-number&gt;&lt;foreign-keys&gt;&lt;key app="EN" db-id="20tzrfeaqpde50e5e2dvtwp7sr5fsss0txe9" timestamp="1591813439"&gt;2861&lt;/key&gt;&lt;/foreign-keys&gt;&lt;ref-type name="Journal Article"&gt;17&lt;/ref-type&gt;&lt;contributors&gt;&lt;authors&gt;&lt;author&gt;Bachtrog, Doris&lt;/author&gt;&lt;author&gt;Weiss, Steven&lt;/author&gt;&lt;author&gt;Zangerl, Barbara&lt;/author&gt;&lt;author&gt;Brem, Gottfried&lt;/author&gt;&lt;author&gt;Schlötterer, Christian&lt;/author&gt;&lt;/authors&gt;&lt;/contributors&gt;&lt;titles&gt;&lt;title&gt;Distribution of dinucleotide microsatellites in the Drosophila melanogaster genome&lt;/title&gt;&lt;secondary-title&gt;Molecular Biology and Evolution&lt;/secondary-title&gt;&lt;/titles&gt;&lt;periodical&gt;&lt;full-title&gt;Molecular biology and evolution&lt;/full-title&gt;&lt;/periodical&gt;&lt;pages&gt;602-610&lt;/pages&gt;&lt;volume&gt;16&lt;/volume&gt;&lt;number&gt;5&lt;/number&gt;&lt;dates&gt;&lt;year&gt;1999&lt;/year&gt;&lt;/dates&gt;&lt;isbn&gt;0737-4038&lt;/isbn&gt;&lt;urls&gt;&lt;/urls&gt;&lt;/record&gt;&lt;/Cite&gt;&lt;Cite&gt;&lt;Author&gt;Lowenhaupt&lt;/Author&gt;&lt;Year&gt;1989&lt;/Year&gt;&lt;RecNum&gt;2862&lt;/RecNum&gt;&lt;record&gt;&lt;rec-number&gt;2862&lt;/rec-number&gt;&lt;foreign-keys&gt;&lt;key app="EN" db-id="20tzrfeaqpde50e5e2dvtwp7sr5fsss0txe9" timestamp="1591813485"&gt;2862&lt;/key&gt;&lt;/foreign-keys&gt;&lt;ref-type name="Journal Article"&gt;17&lt;/ref-type&gt;&lt;contributors&gt;&lt;authors&gt;&lt;author&gt;Lowenhaupt, K&lt;/author&gt;&lt;author&gt;Rich, A&lt;/author&gt;&lt;author&gt;Pardue, ML&lt;/author&gt;&lt;/authors&gt;&lt;/contributors&gt;&lt;titles&gt;&lt;title&gt;Nonrandom distribution of long mono-and dinucleotide repeats in Drosophila chromosomes: correlations with dosage compensation, heterochromatin, and recombination&lt;/title&gt;&lt;secondary-title&gt;Molecular and Cellular Biology&lt;/secondary-title&gt;&lt;/titles&gt;&lt;periodical&gt;&lt;full-title&gt;Molecular and Cellular Biology&lt;/full-title&gt;&lt;/periodical&gt;&lt;pages&gt;1173-1182&lt;/pages&gt;&lt;volume&gt;9&lt;/volume&gt;&lt;number&gt;3&lt;/number&gt;&lt;dates&gt;&lt;year&gt;1989&lt;/year&gt;&lt;/dates&gt;&lt;isbn&gt;0270-7306&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[57,58]</w:t>
      </w:r>
      <w:r w:rsidRPr="00A1535E">
        <w:rPr>
          <w:rFonts w:ascii="Palatino Linotype" w:hAnsi="Palatino Linotype" w:cs="Calibri"/>
          <w:sz w:val="20"/>
        </w:rPr>
        <w:fldChar w:fldCharType="end"/>
      </w:r>
      <w:r w:rsidRPr="00A1535E">
        <w:rPr>
          <w:rFonts w:ascii="Palatino Linotype" w:hAnsi="Palatino Linotype" w:cs="Calibri"/>
          <w:sz w:val="20"/>
        </w:rPr>
        <w:t xml:space="preserve">. However, heterochromatic regions are generally enriched for a variety of repetitive sequences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&lt;EndNote&gt;&lt;Cite&gt;&lt;Author&gt;Charlesworth&lt;/Author&gt;&lt;Year&gt;1994&lt;/Year&gt;&lt;RecNum&gt;331&lt;/RecNum&gt;&lt;DisplayText&gt;&lt;style size="10"&gt;[59,60]&lt;/style&gt;&lt;/DisplayText&gt;&lt;record&gt;&lt;rec-number&gt;331&lt;/rec-number&gt;&lt;foreign-keys&gt;&lt;key app="EN" db-id="psx5aavda22efleatx5vaweatapzwapastxd" timestamp="1584946954" guid="fef0c459-6c2e-4cf7-8628-a7546c69f7ad"&gt;331&lt;/key&gt;&lt;/foreign-keys&gt;&lt;ref-type name="Journal Article"&gt;17&lt;/ref-type&gt;&lt;contributors&gt;&lt;authors&gt;&lt;author&gt;Charlesworth, Brian&lt;/author&gt;&lt;author&gt;Sniegowski, Paul&lt;/author&gt;&lt;author&gt;Stephan, Wolfgang&lt;/author&gt;&lt;/authors&gt;&lt;/contributors&gt;&lt;titles&gt;&lt;title&gt;The evolutionary dynamics of repetitive DNA in eukaryotes&lt;/title&gt;&lt;secondary-title&gt;Nature&lt;/secondary-title&gt;&lt;/titles&gt;&lt;periodical&gt;&lt;full-title&gt;Nature&lt;/full-title&gt;&lt;abbr-1&gt;Nature&lt;/abbr-1&gt;&lt;/periodical&gt;&lt;pages&gt;215-220&lt;/pages&gt;&lt;volume&gt;371&lt;/volume&gt;&lt;number&gt;6494&lt;/number&gt;&lt;dates&gt;&lt;year&gt;1994&lt;/year&gt;&lt;pub-dates&gt;&lt;date&gt;1994/09/01&lt;/date&gt;&lt;/pub-dates&gt;&lt;/dates&gt;&lt;isbn&gt;1476-4687&lt;/isbn&gt;&lt;urls&gt;&lt;related-urls&gt;&lt;url&gt;https://doi.org/10.1038/371215a0&lt;/url&gt;&lt;/related-urls&gt;&lt;/urls&gt;&lt;electronic-resource-num&gt;10.1038/371215a0&lt;/electronic-resource-num&gt;&lt;/record&gt;&lt;/Cite&gt;&lt;Cite&gt;&lt;Author&gt;Yunis&lt;/Author&gt;&lt;Year&gt;1971&lt;/Year&gt;&lt;RecNum&gt;2864&lt;/RecNum&gt;&lt;record&gt;&lt;rec-number&gt;2864&lt;/rec-number&gt;&lt;foreign-keys&gt;&lt;key app="EN" db-id="20tzrfeaqpde50e5e2dvtwp7sr5fsss0txe9" timestamp="1591814488"&gt;2864&lt;/key&gt;&lt;/foreign-keys&gt;&lt;ref-type name="Journal Article"&gt;17&lt;/ref-type&gt;&lt;contributors&gt;&lt;authors&gt;&lt;author&gt;Yunis, Jorge J&lt;/author&gt;&lt;author&gt;Yasmineh, Walid G&lt;/author&gt;&lt;/authors&gt;&lt;/contributors&gt;&lt;titles&gt;&lt;title&gt;Heterochromatin, satellite DNA, and cell function&lt;/title&gt;&lt;secondary-title&gt;Science&lt;/secondary-title&gt;&lt;/titles&gt;&lt;periodical&gt;&lt;full-title&gt;Science&lt;/full-title&gt;&lt;/periodical&gt;&lt;pages&gt;1200-1209&lt;/pages&gt;&lt;volume&gt;174&lt;/volume&gt;&lt;number&gt;4015&lt;/number&gt;&lt;dates&gt;&lt;year&gt;1971&lt;/year&gt;&lt;/dates&gt;&lt;isbn&gt;0036-8075&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[59,60]</w:t>
      </w:r>
      <w:r w:rsidRPr="00A1535E">
        <w:rPr>
          <w:rFonts w:ascii="Palatino Linotype" w:hAnsi="Palatino Linotype" w:cs="Calibri"/>
          <w:sz w:val="20"/>
        </w:rPr>
        <w:fldChar w:fldCharType="end"/>
      </w:r>
      <w:r w:rsidRPr="00A1535E">
        <w:rPr>
          <w:rFonts w:ascii="Palatino Linotype" w:hAnsi="Palatino Linotype" w:cs="Calibri"/>
          <w:sz w:val="20"/>
        </w:rPr>
        <w:t xml:space="preserve">. </w:t>
      </w:r>
      <w:del w:id="100" w:author="Microsoft Office User" w:date="2020-07-30T10:09:00Z">
        <w:r w:rsidRPr="00A1535E" w:rsidDel="00615F79">
          <w:rPr>
            <w:rFonts w:ascii="Palatino Linotype" w:hAnsi="Palatino Linotype" w:cs="Calibri"/>
            <w:sz w:val="20"/>
          </w:rPr>
          <w:delText xml:space="preserve">Centromeric </w:delText>
        </w:r>
      </w:del>
      <w:ins w:id="101" w:author="Microsoft Office User" w:date="2020-07-30T10:09:00Z">
        <w:r w:rsidR="00615F79" w:rsidRPr="00A1535E">
          <w:rPr>
            <w:rFonts w:ascii="Palatino Linotype" w:hAnsi="Palatino Linotype" w:cs="Calibri"/>
            <w:sz w:val="20"/>
          </w:rPr>
          <w:t>Centromer</w:t>
        </w:r>
        <w:r w:rsidR="00615F79">
          <w:rPr>
            <w:rFonts w:ascii="Palatino Linotype" w:hAnsi="Palatino Linotype" w:cs="Calibri"/>
            <w:sz w:val="20"/>
          </w:rPr>
          <w:t>es</w:t>
        </w:r>
        <w:r w:rsidR="00615F79" w:rsidRPr="00A1535E">
          <w:rPr>
            <w:rFonts w:ascii="Palatino Linotype" w:hAnsi="Palatino Linotype" w:cs="Calibri"/>
            <w:sz w:val="20"/>
          </w:rPr>
          <w:t xml:space="preserve"> </w:t>
        </w:r>
      </w:ins>
      <w:r w:rsidRPr="00A1535E">
        <w:rPr>
          <w:rFonts w:ascii="Palatino Linotype" w:hAnsi="Palatino Linotype" w:cs="Calibri"/>
          <w:sz w:val="20"/>
        </w:rPr>
        <w:t xml:space="preserve">and </w:t>
      </w:r>
      <w:del w:id="102" w:author="Microsoft Office User" w:date="2020-07-30T10:09:00Z">
        <w:r w:rsidRPr="00A1535E" w:rsidDel="00615F79">
          <w:rPr>
            <w:rFonts w:ascii="Palatino Linotype" w:hAnsi="Palatino Linotype" w:cs="Calibri"/>
            <w:sz w:val="20"/>
          </w:rPr>
          <w:delText xml:space="preserve">telomeric </w:delText>
        </w:r>
      </w:del>
      <w:ins w:id="103" w:author="Microsoft Office User" w:date="2020-07-30T10:09:00Z">
        <w:r w:rsidR="00615F79" w:rsidRPr="00A1535E">
          <w:rPr>
            <w:rFonts w:ascii="Palatino Linotype" w:hAnsi="Palatino Linotype" w:cs="Calibri"/>
            <w:sz w:val="20"/>
          </w:rPr>
          <w:t>telomer</w:t>
        </w:r>
        <w:r w:rsidR="00615F79">
          <w:rPr>
            <w:rFonts w:ascii="Palatino Linotype" w:hAnsi="Palatino Linotype" w:cs="Calibri"/>
            <w:sz w:val="20"/>
          </w:rPr>
          <w:t>es</w:t>
        </w:r>
        <w:r w:rsidR="00615F79" w:rsidRPr="00A1535E">
          <w:rPr>
            <w:rFonts w:ascii="Palatino Linotype" w:hAnsi="Palatino Linotype" w:cs="Calibri"/>
            <w:sz w:val="20"/>
          </w:rPr>
          <w:t xml:space="preserve"> </w:t>
        </w:r>
        <w:r w:rsidR="00615F79">
          <w:rPr>
            <w:rFonts w:ascii="Palatino Linotype" w:hAnsi="Palatino Linotype" w:cs="Calibri"/>
            <w:sz w:val="20"/>
          </w:rPr>
          <w:t xml:space="preserve">as well as the </w:t>
        </w:r>
      </w:ins>
      <w:r w:rsidRPr="00A1535E">
        <w:rPr>
          <w:rFonts w:ascii="Palatino Linotype" w:hAnsi="Palatino Linotype" w:cs="Calibri"/>
          <w:sz w:val="20"/>
        </w:rPr>
        <w:t xml:space="preserve">regions </w:t>
      </w:r>
      <w:ins w:id="104" w:author="Microsoft Office User" w:date="2020-07-30T10:09:00Z">
        <w:r w:rsidR="00615F79">
          <w:rPr>
            <w:rFonts w:ascii="Palatino Linotype" w:hAnsi="Palatino Linotype" w:cs="Calibri"/>
            <w:sz w:val="20"/>
          </w:rPr>
          <w:t>adjacent to them</w:t>
        </w:r>
      </w:ins>
      <w:ins w:id="105" w:author="Microsoft Office User" w:date="2020-07-30T10:10:00Z">
        <w:r w:rsidR="00615F79">
          <w:rPr>
            <w:rFonts w:ascii="Palatino Linotype" w:hAnsi="Palatino Linotype" w:cs="Calibri"/>
            <w:sz w:val="20"/>
          </w:rPr>
          <w:t xml:space="preserve"> </w:t>
        </w:r>
      </w:ins>
      <w:r w:rsidRPr="00A1535E">
        <w:rPr>
          <w:rFonts w:ascii="Palatino Linotype" w:hAnsi="Palatino Linotype" w:cs="Calibri"/>
          <w:sz w:val="20"/>
        </w:rPr>
        <w:t xml:space="preserve">are </w:t>
      </w:r>
      <w:del w:id="106" w:author="Microsoft Office User" w:date="2020-07-30T10:10:00Z">
        <w:r w:rsidRPr="00A1535E" w:rsidDel="00615F79">
          <w:rPr>
            <w:rFonts w:ascii="Palatino Linotype" w:hAnsi="Palatino Linotype" w:cs="Calibri"/>
            <w:sz w:val="20"/>
          </w:rPr>
          <w:delText>both normally</w:delText>
        </w:r>
      </w:del>
      <w:ins w:id="107" w:author="Microsoft Office User" w:date="2020-07-30T10:10:00Z">
        <w:r w:rsidR="00615F79">
          <w:rPr>
            <w:rFonts w:ascii="Palatino Linotype" w:hAnsi="Palatino Linotype" w:cs="Calibri"/>
            <w:sz w:val="20"/>
          </w:rPr>
          <w:t xml:space="preserve">often </w:t>
        </w:r>
      </w:ins>
      <w:del w:id="108" w:author="Microsoft Office User" w:date="2020-07-30T10:10:00Z">
        <w:r w:rsidRPr="00A1535E" w:rsidDel="00615F79">
          <w:rPr>
            <w:rFonts w:ascii="Palatino Linotype" w:hAnsi="Palatino Linotype" w:cs="Calibri"/>
            <w:sz w:val="20"/>
          </w:rPr>
          <w:delText xml:space="preserve"> </w:delText>
        </w:r>
      </w:del>
      <w:r w:rsidRPr="00A1535E">
        <w:rPr>
          <w:rFonts w:ascii="Palatino Linotype" w:hAnsi="Palatino Linotype" w:cs="Calibri"/>
          <w:sz w:val="20"/>
        </w:rPr>
        <w:t>heterochromatic and the number of these structural regions will scale with the number of chromosomes a genome contains. We might also expect chromosome number to correlate with rate of evolution where more recombination occurs in species with many chromosomes. With each recombination event, there is an opportunity for misalignment of repeat units which would lead to a longer or shorter locus in the resulting gametes. In our analysis, we find no significant correlation between chromosome number and either microsatellite content or microsatellite rate of evolution. We interpret this as evidence that these regions are not a “hot spot” for microsatellite accumulation in most insect species, and that changes in microsatellite length due to recombination errors are rare. However, we note that centromeric and telomeric regions are difficult to assemble regions of the genome and may become more difficult to assemble as the number of chromosomes increases. As such, the use of whole genome assemblies rather than raw reads may reduce our ability to detect a concentration of microsatellites in these regions.</w:t>
      </w:r>
      <w:ins w:id="109" w:author="Microsoft Office User" w:date="2020-07-30T10:11:00Z">
        <w:r w:rsidR="00615F79">
          <w:rPr>
            <w:rFonts w:ascii="Palatino Linotype" w:hAnsi="Palatino Linotype" w:cs="Calibri"/>
            <w:sz w:val="20"/>
          </w:rPr>
          <w:t xml:space="preserve"> More broadly the results that we have presented are likely most applicable to the tempo and mode of microsatellite evolution in </w:t>
        </w:r>
      </w:ins>
      <w:ins w:id="110" w:author="Microsoft Office User" w:date="2020-07-30T10:12:00Z">
        <w:r w:rsidR="00615F79">
          <w:rPr>
            <w:rFonts w:ascii="Palatino Linotype" w:hAnsi="Palatino Linotype" w:cs="Calibri"/>
            <w:sz w:val="20"/>
          </w:rPr>
          <w:t>euchromatic portions of the genome.</w:t>
        </w:r>
      </w:ins>
    </w:p>
    <w:p w:rsidR="009A2357" w:rsidRPr="00564337" w:rsidRDefault="009A2357" w:rsidP="00564337">
      <w:pPr>
        <w:autoSpaceDE w:val="0"/>
        <w:autoSpaceDN w:val="0"/>
        <w:adjustRightInd w:val="0"/>
        <w:spacing w:line="260" w:lineRule="atLeast"/>
        <w:ind w:firstLine="420"/>
        <w:rPr>
          <w:rFonts w:ascii="Palatino Linotype" w:hAnsi="Palatino Linotype"/>
          <w:sz w:val="20"/>
        </w:rPr>
      </w:pPr>
      <w:r w:rsidRPr="00A1535E">
        <w:rPr>
          <w:rFonts w:ascii="Palatino Linotype" w:hAnsi="Palatino Linotype" w:cs="Calibri"/>
          <w:i/>
          <w:sz w:val="20"/>
        </w:rPr>
        <w:t>Genome size</w:t>
      </w:r>
      <w:r w:rsidRPr="00A1535E">
        <w:rPr>
          <w:rFonts w:ascii="Palatino Linotype" w:hAnsi="Palatino Linotype" w:cs="Calibri"/>
          <w:sz w:val="20"/>
        </w:rPr>
        <w:t xml:space="preserve">: There is large variation in genome size among eukaryotes; even closely related species often have strikingly different genome sizes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&lt;EndNote&gt;&lt;Cite&gt;&lt;Author&gt;Hartl&lt;/Author&gt;&lt;Year&gt;2000&lt;/Year&gt;&lt;RecNum&gt;341&lt;/RecNum&gt;&lt;DisplayText&gt;&lt;style size="10"&gt;[61]&lt;/style&gt;&lt;/DisplayText&gt;&lt;record&gt;&lt;rec-number&gt;341&lt;/rec-number&gt;&lt;foreign-keys&gt;&lt;key app="EN" db-id="psx5aavda22efleatx5vaweatapzwapastxd" timestamp="1585034891" guid="d4ed411f-0321-4956-b925-8fad0e693201"&gt;341&lt;/key&gt;&lt;/foreign-keys&gt;&lt;ref-type name="Journal Article"&gt;17&lt;/ref-type&gt;&lt;contributors&gt;&lt;authors&gt;&lt;author&gt;Hartl, Daniel L&lt;/author&gt;&lt;/authors&gt;&lt;/contributors&gt;&lt;titles&gt;&lt;title&gt;Molecular melodies in high and low C&lt;/title&gt;&lt;secondary-title&gt;Nature Reviews Genetics&lt;/secondary-title&gt;&lt;/titles&gt;&lt;periodical&gt;&lt;full-title&gt;Nature Reviews Genetics&lt;/full-title&gt;&lt;/periodical&gt;&lt;pages&gt;145-149&lt;/pages&gt;&lt;volume&gt;1&lt;/volume&gt;&lt;number&gt;2&lt;/number&gt;&lt;dates&gt;&lt;year&gt;2000&lt;/year&gt;&lt;/dates&gt;&lt;isbn&gt;1471-0064&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[61]</w:t>
      </w:r>
      <w:r w:rsidRPr="00A1535E">
        <w:rPr>
          <w:rFonts w:ascii="Palatino Linotype" w:hAnsi="Palatino Linotype" w:cs="Calibri"/>
          <w:sz w:val="20"/>
        </w:rPr>
        <w:fldChar w:fldCharType="end"/>
      </w:r>
      <w:r w:rsidRPr="00A1535E">
        <w:rPr>
          <w:rFonts w:ascii="Palatino Linotype" w:hAnsi="Palatino Linotype" w:cs="Calibri"/>
          <w:sz w:val="20"/>
        </w:rPr>
        <w:t xml:space="preserve">. This variation in eukaryotes is not predictive of complexity, ploidy level, or the number of protein-coding genes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&lt;EndNote&gt;&lt;Cite&gt;&lt;Author&gt;Mirsky&lt;/Author&gt;&lt;Year&gt;1951&lt;/Year&gt;&lt;RecNum&gt;343&lt;/RecNum&gt;&lt;DisplayText&gt;&lt;style size="10"&gt;[62,63]&lt;/style&gt;&lt;/DisplayText&gt;&lt;record&gt;&lt;rec-number&gt;343&lt;/rec-number&gt;&lt;foreign-keys&gt;&lt;key app="EN" db-id="psx5aavda22efleatx5vaweatapzwapastxd" timestamp="1585034958" guid="9e2aba78-2ff5-4331-9c1a-d9936cf53972"&gt;343&lt;/key&gt;&lt;/foreign-keys&gt;&lt;ref-type name="Journal Article"&gt;17&lt;/ref-type&gt;&lt;contributors&gt;&lt;authors&gt;&lt;author&gt;Mirsky, AE&lt;/author&gt;&lt;author&gt;Ris, Hans&lt;/author&gt;&lt;/authors&gt;&lt;/contributors&gt;&lt;titles&gt;&lt;title&gt;The desoxyribonucleic acid content of animal cells and its evolutionary significance&lt;/title&gt;&lt;secondary-title&gt;The Journal of general physiology&lt;/secondary-title&gt;&lt;/titles&gt;&lt;periodical&gt;&lt;full-title&gt;The Journal of general physiology&lt;/full-title&gt;&lt;/periodical&gt;&lt;pages&gt;451&lt;/pages&gt;&lt;volume&gt;34&lt;/volume&gt;&lt;number&gt;4&lt;/number&gt;&lt;dates&gt;&lt;year&gt;1951&lt;/year&gt;&lt;/dates&gt;&lt;urls&gt;&lt;/urls&gt;&lt;/record&gt;&lt;/Cite&gt;&lt;Cite&gt;&lt;Author&gt;Lynch&lt;/Author&gt;&lt;Year&gt;2003&lt;/Year&gt;&lt;RecNum&gt;2868&lt;/RecNum&gt;&lt;record&gt;&lt;rec-number&gt;2868&lt;/rec-number&gt;&lt;foreign-keys&gt;&lt;key app="EN" db-id="20tzrfeaqpde50e5e2dvtwp7sr5fsss0txe9" timestamp="1591816409"&gt;2868&lt;/key&gt;&lt;/foreign-keys&gt;&lt;ref-type name="Journal Article"&gt;17&lt;/ref-type&gt;&lt;contributors&gt;&lt;authors&gt;&lt;author&gt;Lynch, Michael&lt;/author&gt;&lt;author&gt;Conery, John S&lt;/author&gt;&lt;/authors&gt;&lt;/contributors&gt;&lt;titles&gt;&lt;title&gt;The origins of genome complexity&lt;/title&gt;&lt;secondary-title&gt;science&lt;/secondary-title&gt;&lt;/titles&gt;&lt;periodical&gt;&lt;full-title&gt;Science&lt;/full-title&gt;&lt;/periodical&gt;&lt;pages&gt;1401-1404&lt;/pages&gt;&lt;volume&gt;302&lt;/volume&gt;&lt;number&gt;5649&lt;/number&gt;&lt;dates&gt;&lt;year&gt;2003&lt;/year&gt;&lt;/dates&gt;&lt;isbn&gt;0036-8075&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[62,63]</w:t>
      </w:r>
      <w:r w:rsidRPr="00A1535E">
        <w:rPr>
          <w:rFonts w:ascii="Palatino Linotype" w:hAnsi="Palatino Linotype" w:cs="Calibri"/>
          <w:sz w:val="20"/>
        </w:rPr>
        <w:fldChar w:fldCharType="end"/>
      </w:r>
      <w:r w:rsidRPr="00A1535E">
        <w:rPr>
          <w:rFonts w:ascii="Palatino Linotype" w:hAnsi="Palatino Linotype" w:cs="Calibri"/>
          <w:sz w:val="20"/>
        </w:rPr>
        <w:t xml:space="preserve">. The evolution of genome size can be directly affected by a variety of processes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&lt;EndNote&gt;&lt;Cite&gt;&lt;Author&gt;Petrov&lt;/Author&gt;&lt;Year&gt;2001&lt;/Year&gt;&lt;RecNum&gt;2867&lt;/RecNum&gt;&lt;Prefix&gt;e.g. insertions`, deletions`, polysomy`, proliferation of transposons`; reviewed in: &lt;/Prefix&gt;&lt;DisplayText&gt;&lt;style size="10"&gt;[&lt;/style&gt;e.g. insertions, deletions, polysomy, proliferation of transposons; reviewed in: &lt;style size="10"&gt;64]&lt;/style&gt;&lt;/DisplayText&gt;&lt;record&gt;&lt;rec-number&gt;2867&lt;/rec-number&gt;&lt;foreign-keys&gt;&lt;key app="EN" db-id="20tzrfeaqpde50e5e2dvtwp7sr5fsss0txe9" timestamp="1591815837"&gt;2867&lt;/key&gt;&lt;/foreign-keys&gt;&lt;ref-type name="Journal Article"&gt;17&lt;/ref-type&gt;&lt;contributors&gt;&lt;authors&gt;&lt;author&gt;Petrov, Dmitri A&lt;/author&gt;&lt;/authors&gt;&lt;/contributors&gt;&lt;titles&gt;&lt;title&gt;Evolution of genome size: new approaches to an old problem&lt;/title&gt;&lt;secondary-title&gt;TRENDS in Genetics&lt;/secondary-title&gt;&lt;/titles&gt;&lt;periodical&gt;&lt;full-title&gt;Trends in Genetics&lt;/full-title&gt;&lt;/periodical&gt;&lt;pages&gt;23-28&lt;/pages&gt;&lt;volume&gt;17&lt;/volume&gt;&lt;number&gt;1&lt;/number&gt;&lt;dates&gt;&lt;year&gt;2001&lt;/year&gt;&lt;/dates&gt;&lt;isbn&gt;0168-9525&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[e.g. insertions, deletions, polysomy, proliferation of transposons; reviewed in: 64]</w:t>
      </w:r>
      <w:r w:rsidRPr="00A1535E">
        <w:rPr>
          <w:rFonts w:ascii="Palatino Linotype" w:hAnsi="Palatino Linotype" w:cs="Calibri"/>
          <w:sz w:val="20"/>
        </w:rPr>
        <w:fldChar w:fldCharType="end"/>
      </w:r>
      <w:r w:rsidRPr="00A1535E">
        <w:rPr>
          <w:rFonts w:ascii="Palatino Linotype" w:hAnsi="Palatino Linotype" w:cs="Calibri"/>
          <w:sz w:val="20"/>
        </w:rPr>
        <w:t xml:space="preserve">. A correlation between microsatellite content and genome size may be produced in two distinctly different fashions. First, microsatellite expansion or contraction may lead directly to changes in genome size, or broader deletion or insertion processes may drive a global change in genome size that impacts microsatellites as a byproduct. The relationship between microsatellite content and genome size has been confirmed in many species </w:t>
      </w:r>
      <w:r w:rsidRPr="00A1535E">
        <w:rPr>
          <w:rFonts w:ascii="Palatino Linotype" w:hAnsi="Palatino Linotype" w:cs="Calibri"/>
          <w:sz w:val="20"/>
        </w:rPr>
        <w:fldChar w:fldCharType="begin">
          <w:fldData xml:space="preserve">PEVuZE5vdGU+PENpdGU+PEF1dGhvcj5LdWJpczwvQXV0aG9yPjxZZWFyPjE5OTg8L1llYXI+PFJl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</w:fldData>
        </w:fldChar>
      </w:r>
      <w:r w:rsidR="008D249A">
        <w:rPr>
          <w:rFonts w:ascii="Palatino Linotype" w:hAnsi="Palatino Linotype" w:cs="Calibri"/>
          <w:sz w:val="20"/>
        </w:rPr>
        <w:instrText xml:space="preserve"> ADDIN EN.CITE </w:instrText>
      </w:r>
      <w:r w:rsidR="008D249A">
        <w:rPr>
          <w:rFonts w:ascii="Palatino Linotype" w:hAnsi="Palatino Linotype" w:cs="Calibri"/>
          <w:sz w:val="20"/>
        </w:rPr>
        <w:fldChar w:fldCharType="begin">
          <w:fldData xml:space="preserve">PEVuZE5vdGU+PENpdGU+PEF1dGhvcj5LdWJpczwvQXV0aG9yPjxZZWFyPjE5OTg8L1llYXI+PFJl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</w:fldData>
        </w:fldChar>
      </w:r>
      <w:r w:rsidR="008D249A">
        <w:rPr>
          <w:rFonts w:ascii="Palatino Linotype" w:hAnsi="Palatino Linotype" w:cs="Calibri"/>
          <w:sz w:val="20"/>
        </w:rPr>
        <w:instrText xml:space="preserve"> ADDIN EN.CITE.DATA </w:instrText>
      </w:r>
      <w:r w:rsidR="008D249A">
        <w:rPr>
          <w:rFonts w:ascii="Palatino Linotype" w:hAnsi="Palatino Linotype" w:cs="Calibri"/>
          <w:sz w:val="20"/>
        </w:rPr>
      </w:r>
      <w:r w:rsidR="008D249A">
        <w:rPr>
          <w:rFonts w:ascii="Palatino Linotype" w:hAnsi="Palatino Linotype" w:cs="Calibri"/>
          <w:sz w:val="20"/>
        </w:rPr>
        <w:fldChar w:fldCharType="end"/>
      </w:r>
      <w:r w:rsidRPr="00A1535E">
        <w:rPr>
          <w:rFonts w:ascii="Palatino Linotype" w:hAnsi="Palatino Linotype" w:cs="Calibri"/>
          <w:sz w:val="20"/>
        </w:rPr>
        <w:fldChar w:fldCharType="separate"/>
      </w:r>
      <w:r w:rsidR="008D249A">
        <w:rPr>
          <w:rFonts w:ascii="Palatino Linotype" w:hAnsi="Palatino Linotype" w:cs="Calibri"/>
          <w:noProof/>
          <w:sz w:val="20"/>
        </w:rPr>
        <w:t>[65-67]</w:t>
      </w:r>
      <w:r w:rsidRPr="00A1535E">
        <w:rPr>
          <w:rFonts w:ascii="Palatino Linotype" w:hAnsi="Palatino Linotype" w:cs="Calibri"/>
          <w:sz w:val="20"/>
        </w:rPr>
        <w:fldChar w:fldCharType="end"/>
      </w:r>
      <w:r w:rsidRPr="00A1535E">
        <w:rPr>
          <w:rFonts w:ascii="Palatino Linotype" w:hAnsi="Palatino Linotype" w:cs="Calibri"/>
          <w:sz w:val="20"/>
        </w:rPr>
        <w:t>.</w:t>
      </w:r>
      <w:r w:rsidRPr="00A1535E">
        <w:rPr>
          <w:rFonts w:ascii="Palatino Linotype" w:hAnsi="Palatino Linotype"/>
          <w:sz w:val="20"/>
        </w:rPr>
        <w:t xml:space="preserve"> </w:t>
      </w:r>
      <w:r w:rsidRPr="00A1535E">
        <w:rPr>
          <w:rFonts w:ascii="Palatino Linotype" w:hAnsi="Palatino Linotype" w:cs="Calibri"/>
          <w:sz w:val="20"/>
        </w:rPr>
        <w:t xml:space="preserve">Although our study cannot distinguish among the possible drivers of this correlation, we do find a signal for contingency among genome size and microsatellite content (Figure 4A). Furthermore, we find a correlation between the rate of microsatellite evolution and genome size. We interpret this as support for the proportional model of genome size evolution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&lt;EndNote&gt;&lt;Cite&gt;&lt;Author&gt;Oliver&lt;/Author&gt;&lt;Year&gt;2007&lt;/Year&gt;&lt;RecNum&gt;2869&lt;/RecNum&gt;&lt;DisplayText&gt;&lt;style size="10"&gt;[68]&lt;/style&gt;&lt;/DisplayText&gt;&lt;record&gt;&lt;rec-number&gt;2869&lt;/rec-number&gt;&lt;foreign-keys&gt;&lt;key app="EN" db-id="20tzrfeaqpde50e5e2dvtwp7sr5fsss0txe9" timestamp="1591817518"&gt;2869&lt;/key&gt;&lt;/foreign-keys&gt;&lt;ref-type name="Journal Article"&gt;17&lt;/ref-type&gt;&lt;contributors&gt;&lt;authors&gt;&lt;author&gt;Oliver, Matthew J&lt;/author&gt;&lt;author&gt;Petrov, Dmitri&lt;/author&gt;&lt;author&gt;Ackerly, David&lt;/author&gt;&lt;author&gt;Falkowski, Paul&lt;/author&gt;&lt;author&gt;Schofield, Oscar M&lt;/author&gt;&lt;/authors&gt;&lt;/contributors&gt;&lt;titles&gt;&lt;title&gt;The mode and tempo of genome size evolution in eukaryotes&lt;/title&gt;&lt;secondary-title&gt;Genome research&lt;/secondary-title&gt;&lt;/titles&gt;&lt;periodical&gt;&lt;full-title&gt;Genome research&lt;/full-title&gt;&lt;/periodical&gt;&lt;pages&gt;594-601&lt;/pages&gt;&lt;volume&gt;17&lt;/volume&gt;&lt;number&gt;5&lt;/number&gt;&lt;dates&gt;&lt;year&gt;2007&lt;/year&gt;&lt;/dates&gt;&lt;isbn&gt;1088-9051&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[68]</w:t>
      </w:r>
      <w:r w:rsidRPr="00A1535E">
        <w:rPr>
          <w:rFonts w:ascii="Palatino Linotype" w:hAnsi="Palatino Linotype" w:cs="Calibri"/>
          <w:sz w:val="20"/>
        </w:rPr>
        <w:fldChar w:fldCharType="end"/>
      </w:r>
      <w:r w:rsidRPr="00A1535E">
        <w:rPr>
          <w:rFonts w:ascii="Palatino Linotype" w:hAnsi="Palatino Linotype" w:cs="Calibri"/>
          <w:sz w:val="20"/>
        </w:rPr>
        <w:t>. This hypothesis suggests that variation in rates of genome size evolution (and in turn genome size) is driven by broad rate differences that are a function of the genome size such that species with large genomes also have higher rates of genome size evolution.</w:t>
      </w:r>
    </w:p>
    <w:p w:rsidR="009A2357" w:rsidRPr="00564337" w:rsidRDefault="009A2357" w:rsidP="00A1535E">
      <w:pPr>
        <w:spacing w:line="260" w:lineRule="atLeast"/>
        <w:rPr>
          <w:rFonts w:ascii="Palatino Linotype" w:hAnsi="Palatino Linotype" w:cs="Calibri"/>
          <w:b/>
          <w:sz w:val="20"/>
        </w:rPr>
      </w:pPr>
      <w:r w:rsidRPr="00A1535E">
        <w:rPr>
          <w:rFonts w:ascii="Palatino Linotype" w:hAnsi="Palatino Linotype" w:cs="Calibri"/>
          <w:b/>
          <w:sz w:val="20"/>
        </w:rPr>
        <w:t>Clades</w:t>
      </w:r>
    </w:p>
    <w:p w:rsidR="00856DFE"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i/>
          <w:sz w:val="20"/>
        </w:rPr>
        <w:t>Content</w:t>
      </w:r>
      <w:r w:rsidRPr="00A1535E">
        <w:rPr>
          <w:rFonts w:ascii="Palatino Linotype" w:hAnsi="Palatino Linotype" w:cs="Calibri"/>
          <w:sz w:val="20"/>
        </w:rPr>
        <w:t xml:space="preserve">: Our analysis demonstrates that microsatellite content is highly variable across species (Figure 1). However, differences among orders are not statistically significant once we correct for the phylogenetic history. Instead, we find a pattern where often even closely related species exhibit striking differences in microsatellite content. For instance, within the fly family Tephritidae, </w:t>
      </w:r>
      <w:r w:rsidRPr="00A1535E">
        <w:rPr>
          <w:rFonts w:ascii="Palatino Linotype" w:hAnsi="Palatino Linotype" w:cs="Calibri"/>
          <w:i/>
          <w:iCs/>
          <w:sz w:val="20"/>
        </w:rPr>
        <w:t>Ceratitis capitata</w:t>
      </w:r>
      <w:r w:rsidRPr="00A1535E">
        <w:rPr>
          <w:rFonts w:ascii="Palatino Linotype" w:hAnsi="Palatino Linotype" w:cs="Calibri"/>
          <w:sz w:val="20"/>
        </w:rPr>
        <w:t xml:space="preserve"> has 10x more 5-mer repeats than the four </w:t>
      </w:r>
      <w:r w:rsidRPr="00A1535E">
        <w:rPr>
          <w:rFonts w:ascii="Calibri" w:hAnsi="Calibri" w:cs="Calibri"/>
          <w:sz w:val="20"/>
        </w:rPr>
        <w:t>﻿</w:t>
      </w:r>
      <w:r w:rsidRPr="00A1535E">
        <w:rPr>
          <w:rFonts w:ascii="Palatino Linotype" w:hAnsi="Palatino Linotype" w:cs="Calibri"/>
          <w:i/>
          <w:iCs/>
          <w:sz w:val="20"/>
        </w:rPr>
        <w:t>Bactrocera</w:t>
      </w:r>
      <w:r w:rsidRPr="00A1535E">
        <w:rPr>
          <w:rFonts w:ascii="Palatino Linotype" w:hAnsi="Palatino Linotype" w:cs="Calibri"/>
          <w:sz w:val="20"/>
        </w:rPr>
        <w:t xml:space="preserve"> species. </w:t>
      </w:r>
      <w:r w:rsidRPr="00A1535E">
        <w:rPr>
          <w:rFonts w:ascii="Palatino Linotype" w:hAnsi="Palatino Linotype" w:cs="Calibri"/>
          <w:i/>
          <w:iCs/>
          <w:sz w:val="20"/>
        </w:rPr>
        <w:t>Ceratitis capitata</w:t>
      </w:r>
      <w:r w:rsidRPr="00A1535E">
        <w:rPr>
          <w:rFonts w:ascii="Palatino Linotype" w:hAnsi="Palatino Linotype" w:cs="Calibri"/>
          <w:sz w:val="20"/>
        </w:rPr>
        <w:t xml:space="preserve"> even has three times more 5-mer repeats than </w:t>
      </w:r>
      <w:r w:rsidRPr="00A1535E">
        <w:rPr>
          <w:rFonts w:ascii="Calibri" w:hAnsi="Calibri" w:cs="Calibri"/>
          <w:i/>
          <w:iCs/>
          <w:sz w:val="20"/>
        </w:rPr>
        <w:t>﻿</w:t>
      </w:r>
      <w:r w:rsidRPr="00A1535E">
        <w:rPr>
          <w:rFonts w:ascii="Palatino Linotype" w:hAnsi="Palatino Linotype" w:cs="Calibri"/>
          <w:i/>
          <w:iCs/>
          <w:sz w:val="20"/>
        </w:rPr>
        <w:t xml:space="preserve">Rhagoletis zephyria </w:t>
      </w:r>
      <w:r w:rsidRPr="00A1535E">
        <w:rPr>
          <w:rFonts w:ascii="Palatino Linotype" w:hAnsi="Palatino Linotype" w:cs="Calibri"/>
          <w:sz w:val="20"/>
        </w:rPr>
        <w:t xml:space="preserve">despite the </w:t>
      </w:r>
      <w:r w:rsidRPr="00A1535E">
        <w:rPr>
          <w:rFonts w:ascii="Palatino Linotype" w:hAnsi="Palatino Linotype" w:cs="Calibri"/>
          <w:i/>
          <w:iCs/>
          <w:sz w:val="20"/>
        </w:rPr>
        <w:t>Rhagoletis</w:t>
      </w:r>
      <w:r w:rsidRPr="00A1535E">
        <w:rPr>
          <w:rFonts w:ascii="Palatino Linotype" w:hAnsi="Palatino Linotype" w:cs="Calibri"/>
          <w:sz w:val="20"/>
        </w:rPr>
        <w:t xml:space="preserve"> species having 30% more total microsatellite content. This pattern suggests that microsatellite content can evolve rapidly and confirms previous studies that have suggested that species often have unique microsatellite landscapes </w:t>
      </w:r>
      <w:r w:rsidRPr="00A1535E">
        <w:rPr>
          <w:rFonts w:ascii="Palatino Linotype" w:hAnsi="Palatino Linotype" w:cs="Calibri"/>
          <w:sz w:val="20"/>
        </w:rPr>
        <w:fldChar w:fldCharType="begin"/>
      </w:r>
      <w:r w:rsidR="008D249A">
        <w:rPr>
          <w:rFonts w:ascii="Palatino Linotype" w:hAnsi="Palatino Linotype" w:cs="Calibri"/>
          <w:sz w:val="20"/>
        </w:rPr>
        <w:instrText xml:space="preserve"> ADDIN EN.CITE &lt;EndNote&gt;&lt;Cite&gt;&lt;Author&gt;Rubinsztein&lt;/Author&gt;&lt;Year&gt;1995&lt;/Year&gt;&lt;RecNum&gt;340&lt;/RecNum&gt;&lt;DisplayText&gt;&lt;style size="10"&gt;[69]&lt;/style&gt;&lt;/DisplayText&gt;&lt;record&gt;&lt;rec-number&gt;340&lt;/rec-number&gt;&lt;foreign-keys&gt;&lt;key app="EN" db-id="psx5aavda22efleatx5vaweatapzwapastxd" timestamp="1585034853" guid="b23af993-123d-4253-a388-556e492a247a"&gt;340&lt;/key&gt;&lt;/foreign-keys&gt;&lt;ref-type name="Journal Article"&gt;17&lt;/ref-type&gt;&lt;contributors&gt;&lt;authors&gt;&lt;author&gt;Rubinsztein, David C&lt;/author&gt;&lt;author&gt;Amos, William&lt;/author&gt;&lt;author&gt;Leggo, Jayne&lt;/author&gt;&lt;author&gt;Goodburn, Sandy&lt;/author&gt;&lt;author&gt;Jain, Sanjeev&lt;/author&gt;&lt;author&gt;Li, Shi-Hua&lt;/author&gt;&lt;author&gt;Margolis, Russell L&lt;/author&gt;&lt;author&gt;Ross, Christopher A&lt;/author&gt;&lt;author&gt;Ferguson-Smith, Malcolm A&lt;/author&gt;&lt;/authors&gt;&lt;/contributors&gt;&lt;titles&gt;&lt;title&gt;Microsatellite evolution—evidence for directionality and variation in rate between species&lt;/title&gt;&lt;secondary-title&gt;Nature genetics&lt;/secondary-title&gt;&lt;/titles&gt;&lt;periodical&gt;&lt;full-title&gt;Nature Genetics&lt;/full-title&gt;&lt;/periodical&gt;&lt;pages&gt;337-343&lt;/pages&gt;&lt;volume&gt;10&lt;/volume&gt;&lt;number&gt;3&lt;/number&gt;&lt;dates&gt;&lt;year&gt;1995&lt;/year&gt;&lt;/dates&gt;&lt;isbn&gt;1546-1718&lt;/isbn&gt;&lt;urls&gt;&lt;/urls&gt;&lt;/record&gt;&lt;/Cite&gt;&lt;/EndNote&gt;</w:instrText>
      </w:r>
      <w:r w:rsidRPr="00A1535E">
        <w:rPr>
          <w:rFonts w:ascii="Palatino Linotype" w:hAnsi="Palatino Linotype" w:cs="Calibri"/>
          <w:sz w:val="20"/>
        </w:rPr>
        <w:fldChar w:fldCharType="separate"/>
      </w:r>
      <w:r w:rsidR="008D249A">
        <w:rPr>
          <w:rFonts w:ascii="Palatino Linotype" w:hAnsi="Palatino Linotype" w:cs="Calibri"/>
          <w:noProof/>
          <w:sz w:val="20"/>
        </w:rPr>
        <w:t>[69]</w:t>
      </w:r>
      <w:r w:rsidRPr="00A1535E">
        <w:rPr>
          <w:rFonts w:ascii="Palatino Linotype" w:hAnsi="Palatino Linotype" w:cs="Calibri"/>
          <w:sz w:val="20"/>
        </w:rPr>
        <w:fldChar w:fldCharType="end"/>
      </w:r>
      <w:r w:rsidRPr="00A1535E">
        <w:rPr>
          <w:rFonts w:ascii="Palatino Linotype" w:hAnsi="Palatino Linotype" w:cs="Calibri"/>
          <w:sz w:val="20"/>
        </w:rPr>
        <w:t>.</w:t>
      </w:r>
    </w:p>
    <w:p w:rsidR="009A2357" w:rsidRPr="00A1535E" w:rsidRDefault="009A2357" w:rsidP="00A1535E">
      <w:pPr>
        <w:spacing w:line="260" w:lineRule="atLeast"/>
        <w:ind w:firstLine="420"/>
        <w:rPr>
          <w:rFonts w:ascii="Palatino Linotype" w:hAnsi="Palatino Linotype" w:cs="Calibri"/>
          <w:sz w:val="20"/>
        </w:rPr>
      </w:pPr>
      <w:r w:rsidRPr="00A1535E">
        <w:rPr>
          <w:rFonts w:ascii="Palatino Linotype" w:hAnsi="Palatino Linotype" w:cs="Calibri"/>
          <w:i/>
          <w:sz w:val="20"/>
        </w:rPr>
        <w:lastRenderedPageBreak/>
        <w:t>Rates</w:t>
      </w:r>
      <w:r w:rsidRPr="00A1535E">
        <w:rPr>
          <w:rFonts w:ascii="Palatino Linotype" w:hAnsi="Palatino Linotype" w:cs="Calibri"/>
          <w:sz w:val="20"/>
        </w:rPr>
        <w:t>: Although we found that clades with monocentric chromosomes have higher rates of microsatellite evolution, they also exhibited striking variation in rates of evolution. In fact, among all orders evaluated the monocentric orders Diptera and Coleoptera had the highest and lowest rate of microsatellite evolution respectively (Supplemental Figure 5). In contrast, both holocentric orders had intermediate rates. The broad range of rates estimated within monocentric clades suggests that monocentricity is unlikely to be the driving force responsible for rate differences among clades. Instead, we suggest that there must be other traits that are present in some monocentric clades that contribute to a higher rate estimate in lineages with this type of chromosome.</w:t>
      </w:r>
    </w:p>
    <w:p w:rsidR="006E06CC" w:rsidRPr="00A1535E" w:rsidRDefault="006E06CC" w:rsidP="00A1535E">
      <w:pPr>
        <w:pStyle w:val="MDPI21heading1"/>
      </w:pPr>
      <w:r w:rsidRPr="00A1535E">
        <w:t>5. Conclusions</w:t>
      </w:r>
    </w:p>
    <w:p w:rsidR="009A2357" w:rsidRDefault="00296A0E" w:rsidP="00296A0E">
      <w:pPr>
        <w:pStyle w:val="MDPI61Supplementary"/>
        <w:spacing w:before="0" w:line="300" w:lineRule="atLeast"/>
        <w:rPr>
          <w:ins w:id="111" w:author="Microsoft Office User" w:date="2020-07-30T10:19:00Z"/>
          <w:rFonts w:cs="Calibri"/>
          <w:sz w:val="20"/>
        </w:rPr>
      </w:pPr>
      <w:ins w:id="112" w:author="Microsoft Office User" w:date="2020-07-30T10:18:00Z">
        <w:r w:rsidRPr="00A1535E">
          <w:rPr>
            <w:rFonts w:cs="Calibri"/>
            <w:sz w:val="20"/>
          </w:rPr>
          <w:t xml:space="preserve">The molecular mechanism by which microsatellite content evolves is well-understood; however, the drivers of variation in patterns of microsatellite evolution across large clades is not. </w:t>
        </w:r>
      </w:ins>
      <w:r w:rsidR="009A2357" w:rsidRPr="00A1535E">
        <w:rPr>
          <w:rFonts w:cs="Calibri"/>
          <w:sz w:val="20"/>
        </w:rPr>
        <w:t xml:space="preserve">This study is to our knowledge the first to test how centromere type, chromosome number, and genome size impact clade-level microsatellite content and rates of evolution. </w:t>
      </w:r>
      <w:ins w:id="113" w:author="Microsoft Office User" w:date="2020-07-30T10:18:00Z">
        <w:r w:rsidRPr="00A1535E">
          <w:rPr>
            <w:rFonts w:cs="Calibri"/>
            <w:sz w:val="20"/>
          </w:rPr>
          <w:t>Our results show that there is large variation both in microsatellite content and type of microsatellite repeats within and among orders. Furthermore, the rates at which this microsatellite content evolves differs among orders</w:t>
        </w:r>
      </w:ins>
      <w:ins w:id="114" w:author="Microsoft Office User" w:date="2020-07-30T10:19:00Z">
        <w:r>
          <w:rPr>
            <w:rFonts w:cs="Calibri"/>
            <w:sz w:val="20"/>
          </w:rPr>
          <w:t xml:space="preserve"> and centromere type</w:t>
        </w:r>
      </w:ins>
      <w:ins w:id="115" w:author="Microsoft Office User" w:date="2020-07-30T10:18:00Z">
        <w:r w:rsidRPr="00A1535E">
          <w:rPr>
            <w:rFonts w:cs="Calibri"/>
            <w:sz w:val="20"/>
          </w:rPr>
          <w:t xml:space="preserve">. </w:t>
        </w:r>
      </w:ins>
      <w:ins w:id="116" w:author="Microsoft Office User" w:date="2020-07-30T10:19:00Z">
        <w:r w:rsidRPr="00A1535E">
          <w:rPr>
            <w:rFonts w:cs="Calibri"/>
            <w:sz w:val="20"/>
          </w:rPr>
          <w:t xml:space="preserve">Based on our study, we suggest that Coleoptera and Diptera are particularly good clades to compare as they exhibit the largest difference in rates of evolution. </w:t>
        </w:r>
      </w:ins>
      <w:del w:id="117" w:author="Microsoft Office User" w:date="2020-07-30T10:18:00Z">
        <w:r w:rsidR="009A2357" w:rsidRPr="00A1535E" w:rsidDel="00296A0E">
          <w:rPr>
            <w:rFonts w:cs="Calibri"/>
            <w:sz w:val="20"/>
          </w:rPr>
          <w:delText xml:space="preserve">The molecular mechanism by which microsatellite content evolves is well-understood; however, the drivers of variation in patterns of microsatellite evolution across large clades is not. </w:delText>
        </w:r>
      </w:del>
      <w:ins w:id="118" w:author="Microsoft Office User" w:date="2020-07-30T10:24:00Z">
        <w:r>
          <w:rPr>
            <w:rFonts w:cs="Calibri"/>
            <w:sz w:val="20"/>
          </w:rPr>
          <w:t xml:space="preserve">The </w:t>
        </w:r>
      </w:ins>
      <w:ins w:id="119" w:author="Microsoft Office User" w:date="2020-07-30T10:25:00Z">
        <w:r>
          <w:rPr>
            <w:rFonts w:cs="Calibri"/>
            <w:sz w:val="20"/>
          </w:rPr>
          <w:t xml:space="preserve">advent of long read </w:t>
        </w:r>
        <w:r w:rsidR="003237C3">
          <w:rPr>
            <w:rFonts w:cs="Calibri"/>
            <w:sz w:val="20"/>
          </w:rPr>
          <w:t xml:space="preserve">sequencing </w:t>
        </w:r>
        <w:r>
          <w:rPr>
            <w:rFonts w:cs="Calibri"/>
            <w:sz w:val="20"/>
          </w:rPr>
          <w:t xml:space="preserve">technology coupled with </w:t>
        </w:r>
        <w:r w:rsidR="003237C3">
          <w:rPr>
            <w:rFonts w:cs="Calibri"/>
            <w:sz w:val="20"/>
          </w:rPr>
          <w:t>approaches that provide genome wide scaffolding w</w:t>
        </w:r>
      </w:ins>
      <w:ins w:id="120" w:author="Microsoft Office User" w:date="2020-07-30T10:26:00Z">
        <w:r w:rsidR="003237C3">
          <w:rPr>
            <w:rFonts w:cs="Calibri"/>
            <w:sz w:val="20"/>
          </w:rPr>
          <w:t>ill lead to a vast increase in the number and completeness of genomes that are publicly available. These new assemblies will have the potential to evaluate the evolution of microsatellites across the entire genome rather than being concentrated in euchroma</w:t>
        </w:r>
      </w:ins>
      <w:ins w:id="121" w:author="Microsoft Office User" w:date="2020-07-30T10:27:00Z">
        <w:r w:rsidR="003237C3">
          <w:rPr>
            <w:rFonts w:cs="Calibri"/>
            <w:sz w:val="20"/>
          </w:rPr>
          <w:t>tic portions as is currently the case. A</w:t>
        </w:r>
      </w:ins>
      <w:ins w:id="122" w:author="Microsoft Office User" w:date="2020-07-30T10:22:00Z">
        <w:r>
          <w:rPr>
            <w:rFonts w:cs="Calibri"/>
            <w:sz w:val="20"/>
          </w:rPr>
          <w:t>pproaches like those we have used that allow for an evolving trait to impact the rate of evolution of a second trait could leverage</w:t>
        </w:r>
      </w:ins>
      <w:ins w:id="123" w:author="Microsoft Office User" w:date="2020-07-30T10:27:00Z">
        <w:r w:rsidR="003237C3">
          <w:rPr>
            <w:rFonts w:cs="Calibri"/>
            <w:sz w:val="20"/>
          </w:rPr>
          <w:t xml:space="preserve"> these genomes to reveal the </w:t>
        </w:r>
      </w:ins>
      <w:ins w:id="124" w:author="Microsoft Office User" w:date="2020-07-30T10:28:00Z">
        <w:r w:rsidR="003237C3">
          <w:rPr>
            <w:rFonts w:cs="Calibri"/>
            <w:sz w:val="20"/>
          </w:rPr>
          <w:t xml:space="preserve">impact of a broad range of characters (e.g. TEs, </w:t>
        </w:r>
      </w:ins>
      <w:ins w:id="125" w:author="Microsoft Office User" w:date="2020-07-30T10:29:00Z">
        <w:r w:rsidR="003237C3">
          <w:rPr>
            <w:rFonts w:cs="Calibri"/>
            <w:sz w:val="20"/>
          </w:rPr>
          <w:t>structural elements, codon bias, recombination rates)</w:t>
        </w:r>
      </w:ins>
      <w:ins w:id="126" w:author="Microsoft Office User" w:date="2020-07-30T10:28:00Z">
        <w:r w:rsidR="003237C3">
          <w:rPr>
            <w:rFonts w:cs="Calibri"/>
            <w:sz w:val="20"/>
          </w:rPr>
          <w:t xml:space="preserve"> on the evolution of</w:t>
        </w:r>
      </w:ins>
      <w:ins w:id="127" w:author="Microsoft Office User" w:date="2020-07-30T10:23:00Z">
        <w:r>
          <w:rPr>
            <w:rFonts w:cs="Calibri"/>
            <w:sz w:val="20"/>
          </w:rPr>
          <w:t xml:space="preserve"> microsatellite </w:t>
        </w:r>
      </w:ins>
      <w:ins w:id="128" w:author="Microsoft Office User" w:date="2020-07-30T10:28:00Z">
        <w:r w:rsidR="003237C3">
          <w:rPr>
            <w:rFonts w:cs="Calibri"/>
            <w:sz w:val="20"/>
          </w:rPr>
          <w:t>content.</w:t>
        </w:r>
      </w:ins>
      <w:del w:id="129" w:author="Microsoft Office User" w:date="2020-07-30T10:23:00Z">
        <w:r w:rsidR="00494900" w:rsidDel="00296A0E">
          <w:rPr>
            <w:rFonts w:cs="Calibri"/>
            <w:sz w:val="20"/>
          </w:rPr>
          <w:delText>.</w:delText>
        </w:r>
      </w:del>
      <w:del w:id="130" w:author="Microsoft Office User" w:date="2020-07-30T10:18:00Z">
        <w:r w:rsidR="009A2357" w:rsidRPr="00A1535E" w:rsidDel="00296A0E">
          <w:rPr>
            <w:rFonts w:cs="Calibri"/>
            <w:sz w:val="20"/>
          </w:rPr>
          <w:delText xml:space="preserve">Our results show that there is large variation both in microsatellite content and type of microsatellite repeats within and among orders. Furthermore, the rates at which this microsatellite content evolves differs among orders. </w:delText>
        </w:r>
      </w:del>
      <w:del w:id="131" w:author="Microsoft Office User" w:date="2020-07-30T10:19:00Z">
        <w:r w:rsidR="009A2357" w:rsidRPr="00A1535E" w:rsidDel="00296A0E">
          <w:rPr>
            <w:rFonts w:cs="Calibri"/>
            <w:sz w:val="20"/>
          </w:rPr>
          <w:delText xml:space="preserve">Based on our study, we suggest that Coleoptera and Diptera are particularly good clades to compare as they exhibit the largest difference in rates of evolution. </w:delText>
        </w:r>
      </w:del>
      <w:del w:id="132" w:author="Microsoft Office User" w:date="2020-07-30T10:23:00Z">
        <w:r w:rsidR="009A2357" w:rsidRPr="00A1535E" w:rsidDel="00296A0E">
          <w:rPr>
            <w:rFonts w:cs="Calibri"/>
            <w:sz w:val="20"/>
          </w:rPr>
          <w:delText>As more insect genome assemblies become available and the quality of assemblies increases, future studies could use approaches similar to ours to understand the impact of a variety of genomic characters (i.e.</w:delText>
        </w:r>
      </w:del>
      <w:del w:id="133" w:author="Microsoft Office User" w:date="2020-07-30T10:24:00Z">
        <w:r w:rsidR="009A2357" w:rsidRPr="00A1535E" w:rsidDel="00296A0E">
          <w:rPr>
            <w:rFonts w:cs="Calibri"/>
            <w:sz w:val="20"/>
          </w:rPr>
          <w:delText>, codon bias, transposable elements, recombination rates) on microsatellite landscapes.</w:delText>
        </w:r>
      </w:del>
    </w:p>
    <w:p w:rsidR="00296A0E" w:rsidRPr="009F1008" w:rsidRDefault="00296A0E" w:rsidP="009F1008">
      <w:pPr>
        <w:pStyle w:val="MDPI61Supplementary"/>
        <w:spacing w:before="0" w:line="300" w:lineRule="atLeast"/>
        <w:rPr>
          <w:rFonts w:cs="Calibri"/>
          <w:sz w:val="20"/>
        </w:rPr>
      </w:pPr>
    </w:p>
    <w:p w:rsidR="00863B26" w:rsidRPr="006A33C1" w:rsidRDefault="00863B26" w:rsidP="00863B26">
      <w:pPr>
        <w:pStyle w:val="MDPI61Supplementary"/>
      </w:pPr>
      <w:r w:rsidRPr="006A33C1">
        <w:rPr>
          <w:b/>
        </w:rPr>
        <w:t>Supplementary Materials:</w:t>
      </w:r>
      <w:r w:rsidRPr="006A33C1">
        <w:t xml:space="preserve"> The following are available online at </w:t>
      </w:r>
      <w:r w:rsidR="0059315A">
        <w:t>www.mdpi.com/xxx/s1</w:t>
      </w:r>
      <w:r w:rsidRPr="006A33C1">
        <w:t>, Figure S1</w:t>
      </w:r>
      <w:r w:rsidR="009F1008">
        <w:t xml:space="preserve">: </w:t>
      </w:r>
      <w:r w:rsidR="009F1008" w:rsidRPr="009F1008">
        <w:rPr>
          <w:rFonts w:cs="Calibri"/>
        </w:rPr>
        <w:t>Taxonomic instability indices</w:t>
      </w:r>
      <w:r w:rsidR="009F1008">
        <w:rPr>
          <w:rFonts w:cs="Calibri"/>
        </w:rPr>
        <w:t>; Figure S2:</w:t>
      </w:r>
      <w:r w:rsidR="009F1008" w:rsidRPr="0010220D">
        <w:rPr>
          <w:rFonts w:cs="Calibri"/>
        </w:rPr>
        <w:t xml:space="preserve"> </w:t>
      </w:r>
      <w:r w:rsidR="009F1008" w:rsidRPr="009F1008">
        <w:rPr>
          <w:rFonts w:cs="Calibri"/>
        </w:rPr>
        <w:t>Microsatellite inference and the type of sequencing</w:t>
      </w:r>
      <w:r w:rsidR="009F1008">
        <w:rPr>
          <w:rFonts w:cs="Calibri"/>
        </w:rPr>
        <w:t>; Figure S3:</w:t>
      </w:r>
      <w:r w:rsidR="009F1008" w:rsidRPr="0010220D">
        <w:rPr>
          <w:rFonts w:cs="Calibri"/>
        </w:rPr>
        <w:t xml:space="preserve"> </w:t>
      </w:r>
      <w:r w:rsidR="009F1008" w:rsidRPr="009F1008">
        <w:rPr>
          <w:rFonts w:cs="Calibri"/>
        </w:rPr>
        <w:t>Measures of the quality of genomes</w:t>
      </w:r>
      <w:r w:rsidR="009F1008">
        <w:rPr>
          <w:rFonts w:cs="Calibri"/>
        </w:rPr>
        <w:t xml:space="preserve">; Figure S4: </w:t>
      </w:r>
      <w:r w:rsidR="009F1008" w:rsidRPr="009F1008">
        <w:rPr>
          <w:rFonts w:cs="Calibri"/>
        </w:rPr>
        <w:t>BUSCO scores</w:t>
      </w:r>
      <w:r w:rsidR="009F1008">
        <w:rPr>
          <w:rFonts w:cs="Calibri"/>
        </w:rPr>
        <w:t>; Figure S5: Tip rates</w:t>
      </w:r>
      <w:r w:rsidR="009F1008">
        <w:t xml:space="preserve"> and</w:t>
      </w:r>
      <w:r w:rsidRPr="006A33C1">
        <w:t xml:space="preserve"> Table S1:</w:t>
      </w:r>
      <w:r w:rsidR="009F1008">
        <w:t xml:space="preserve"> Genome accession numbers; Table S2: Gene accession numbers Table S3: Node constraints; </w:t>
      </w:r>
      <w:r w:rsidR="009F1008" w:rsidRPr="0015240E">
        <w:t>Table S4: ANOVA results</w:t>
      </w:r>
      <w:r w:rsidR="00FF5DE6" w:rsidRPr="0015240E">
        <w:t xml:space="preserve"> microsatellite content by order; Table S5 ANOVA results microsatellite content by </w:t>
      </w:r>
      <w:r w:rsidR="0015240E" w:rsidRPr="0015240E">
        <w:t>centromere type</w:t>
      </w:r>
      <w:r w:rsidR="00FF5DE6" w:rsidRPr="0015240E">
        <w:t>.</w:t>
      </w:r>
    </w:p>
    <w:p w:rsidR="00E84CEA" w:rsidRPr="00E84CEA" w:rsidRDefault="00E84CEA" w:rsidP="00863B26">
      <w:pPr>
        <w:pStyle w:val="MDPI62Acknowledgments"/>
      </w:pPr>
      <w:r>
        <w:rPr>
          <w:b/>
        </w:rPr>
        <w:t xml:space="preserve">Author Contributions: </w:t>
      </w:r>
      <w:r w:rsidR="002667CE">
        <w:t xml:space="preserve">All authors </w:t>
      </w:r>
      <w:r w:rsidR="009A2357">
        <w:t xml:space="preserve">contributed to all phases of this study and </w:t>
      </w:r>
      <w:r w:rsidR="002667CE">
        <w:t>have read and agreed to the published version of the manuscript</w:t>
      </w:r>
      <w:r w:rsidRPr="00E84CEA">
        <w:t>.</w:t>
      </w:r>
    </w:p>
    <w:p w:rsidR="00CE673E" w:rsidRPr="00CE673E" w:rsidRDefault="00CE673E" w:rsidP="00863B26">
      <w:pPr>
        <w:pStyle w:val="MDPI62Acknowledgments"/>
      </w:pPr>
      <w:r>
        <w:rPr>
          <w:b/>
        </w:rPr>
        <w:t xml:space="preserve">Funding: </w:t>
      </w:r>
      <w:r w:rsidRPr="00CE673E">
        <w:t xml:space="preserve">This research was funded by </w:t>
      </w:r>
      <w:r w:rsidR="00437C92" w:rsidRPr="00437C92">
        <w:t xml:space="preserve">National Institute of General Medical Sciences at the </w:t>
      </w:r>
      <w:r w:rsidR="009A2357">
        <w:t>National Institutes of Health</w:t>
      </w:r>
      <w:r w:rsidRPr="00CE673E">
        <w:t xml:space="preserve">, grant number </w:t>
      </w:r>
      <w:r w:rsidR="009A2357" w:rsidRPr="009A2357">
        <w:t>R35GM138098</w:t>
      </w:r>
      <w:r w:rsidR="009A2357">
        <w:t>.</w:t>
      </w:r>
    </w:p>
    <w:p w:rsidR="00863B26" w:rsidRPr="0069077C" w:rsidRDefault="0069077C" w:rsidP="00863B26">
      <w:pPr>
        <w:pStyle w:val="MDPI62Acknowledgments"/>
      </w:pPr>
      <w:r>
        <w:rPr>
          <w:b/>
        </w:rPr>
        <w:t>Acknowledgments:</w:t>
      </w:r>
      <w:r w:rsidRPr="0069077C">
        <w:t xml:space="preserve"> </w:t>
      </w:r>
      <w:r w:rsidR="00FF5DE6">
        <w:t>We thank members of the Blackmon Lab and Claudio Casola for discussions of this work</w:t>
      </w:r>
      <w:r w:rsidRPr="0069077C">
        <w:t>.</w:t>
      </w:r>
    </w:p>
    <w:p w:rsidR="00863B26" w:rsidRPr="006A33C1" w:rsidRDefault="00863B26" w:rsidP="00863B26">
      <w:pPr>
        <w:pStyle w:val="MDPI64CoI"/>
      </w:pPr>
      <w:r w:rsidRPr="006A33C1">
        <w:rPr>
          <w:b/>
        </w:rPr>
        <w:t>Conflicts of Interest:</w:t>
      </w:r>
      <w:r w:rsidRPr="006A33C1">
        <w:t xml:space="preserve"> The </w:t>
      </w:r>
      <w:r w:rsidR="00C1077A">
        <w:t>funders</w:t>
      </w:r>
      <w:r w:rsidRPr="006A33C1">
        <w:t xml:space="preserve"> had no role in the design of the study; in the collection, analyses, or interpretation of data; in the writing of the </w:t>
      </w:r>
      <w:r w:rsidR="00D9589C">
        <w:t xml:space="preserve">manuscript, or in the </w:t>
      </w:r>
      <w:r w:rsidRPr="006A33C1">
        <w:t>decision to publish the results.</w:t>
      </w:r>
    </w:p>
    <w:p w:rsidR="009A2357" w:rsidRDefault="009A2357" w:rsidP="006E06CC">
      <w:pPr>
        <w:pStyle w:val="MDPI21heading1"/>
      </w:pPr>
    </w:p>
    <w:p w:rsidR="00FF5DE6" w:rsidRPr="00FF5DE6" w:rsidRDefault="006E06CC" w:rsidP="00FF5DE6">
      <w:pPr>
        <w:pStyle w:val="MDPI21heading1"/>
      </w:pPr>
      <w:r w:rsidRPr="006A33C1">
        <w:t>References</w:t>
      </w:r>
    </w:p>
    <w:p w:rsidR="008D249A" w:rsidRPr="008D249A" w:rsidRDefault="00FF5DE6" w:rsidP="008D249A">
      <w:pPr>
        <w:pStyle w:val="EndNoteBibliography"/>
        <w:ind w:left="720" w:hanging="720"/>
        <w:rPr>
          <w:noProof/>
        </w:rPr>
      </w:pPr>
      <w:r>
        <w:rPr>
          <w:rFonts w:eastAsia="SimSun"/>
        </w:rPr>
        <w:fldChar w:fldCharType="begin"/>
      </w:r>
      <w:r>
        <w:rPr>
          <w:rFonts w:eastAsia="SimSun"/>
        </w:rPr>
        <w:instrText xml:space="preserve"> ADDIN EN.REFLIST </w:instrText>
      </w:r>
      <w:r>
        <w:rPr>
          <w:rFonts w:eastAsia="SimSun"/>
        </w:rPr>
        <w:fldChar w:fldCharType="separate"/>
      </w:r>
      <w:r w:rsidR="008D249A" w:rsidRPr="008D249A">
        <w:rPr>
          <w:noProof/>
        </w:rPr>
        <w:t>1.</w:t>
      </w:r>
      <w:r w:rsidR="008D249A" w:rsidRPr="008D249A">
        <w:rPr>
          <w:noProof/>
        </w:rPr>
        <w:tab/>
        <w:t xml:space="preserve">Metzgar, D.; Bytof, J.; Wills, C. Selection against frameshift mutations limits microsatellite expansion in coding DNA. </w:t>
      </w:r>
      <w:r w:rsidR="008D249A" w:rsidRPr="008D249A">
        <w:rPr>
          <w:i/>
          <w:noProof/>
        </w:rPr>
        <w:t xml:space="preserve">Genome Research </w:t>
      </w:r>
      <w:r w:rsidR="008D249A" w:rsidRPr="008D249A">
        <w:rPr>
          <w:b/>
          <w:noProof/>
        </w:rPr>
        <w:t>2000</w:t>
      </w:r>
      <w:r w:rsidR="008D249A" w:rsidRPr="008D249A">
        <w:rPr>
          <w:noProof/>
        </w:rPr>
        <w:t xml:space="preserve">, </w:t>
      </w:r>
      <w:r w:rsidR="008D249A" w:rsidRPr="008D249A">
        <w:rPr>
          <w:i/>
          <w:noProof/>
        </w:rPr>
        <w:t>10</w:t>
      </w:r>
      <w:r w:rsidR="008D249A" w:rsidRPr="008D249A">
        <w:rPr>
          <w:noProof/>
        </w:rPr>
        <w:t>, 72-80.</w:t>
      </w:r>
    </w:p>
    <w:p w:rsidR="008D249A" w:rsidRPr="008D249A" w:rsidRDefault="008D249A" w:rsidP="008D249A">
      <w:pPr>
        <w:pStyle w:val="EndNoteBibliography"/>
        <w:ind w:left="720" w:hanging="720"/>
        <w:rPr>
          <w:noProof/>
        </w:rPr>
      </w:pPr>
      <w:r w:rsidRPr="008D249A">
        <w:rPr>
          <w:noProof/>
        </w:rPr>
        <w:t>2.</w:t>
      </w:r>
      <w:r w:rsidRPr="008D249A">
        <w:rPr>
          <w:noProof/>
        </w:rPr>
        <w:tab/>
        <w:t xml:space="preserve">Edwards, Y.J.K.; Elgar, G.; Clark, M.S.; Bishop, M.J. The identification and characterization of microsatellites in the compact genome of the japanese pufferfish, Fugu rubripes: perspectives in </w:t>
      </w:r>
      <w:r w:rsidRPr="008D249A">
        <w:rPr>
          <w:noProof/>
        </w:rPr>
        <w:lastRenderedPageBreak/>
        <w:t xml:space="preserve">functional and comparative genomic analyses. </w:t>
      </w:r>
      <w:r w:rsidRPr="008D249A">
        <w:rPr>
          <w:i/>
          <w:noProof/>
        </w:rPr>
        <w:t xml:space="preserve">Journal of Molecular Biology </w:t>
      </w:r>
      <w:r w:rsidRPr="008D249A">
        <w:rPr>
          <w:b/>
          <w:noProof/>
        </w:rPr>
        <w:t>1998</w:t>
      </w:r>
      <w:r w:rsidRPr="008D249A">
        <w:rPr>
          <w:noProof/>
        </w:rPr>
        <w:t xml:space="preserve">, </w:t>
      </w:r>
      <w:r w:rsidRPr="008D249A">
        <w:rPr>
          <w:i/>
          <w:noProof/>
        </w:rPr>
        <w:t>278</w:t>
      </w:r>
      <w:r w:rsidRPr="008D249A">
        <w:rPr>
          <w:noProof/>
        </w:rPr>
        <w:t>, 843-854, doi:</w:t>
      </w:r>
      <w:hyperlink r:id="rId11" w:history="1">
        <w:r w:rsidRPr="008D249A">
          <w:rPr>
            <w:rStyle w:val="Hyperlink"/>
            <w:noProof/>
          </w:rPr>
          <w:t>https://doi.org/10.1006/jmbi.1998.1752</w:t>
        </w:r>
      </w:hyperlink>
      <w:r w:rsidRPr="008D249A">
        <w:rPr>
          <w:noProof/>
        </w:rPr>
        <w:t>.</w:t>
      </w:r>
    </w:p>
    <w:p w:rsidR="008D249A" w:rsidRPr="008D249A" w:rsidRDefault="008D249A" w:rsidP="008D249A">
      <w:pPr>
        <w:pStyle w:val="EndNoteBibliography"/>
        <w:ind w:left="720" w:hanging="720"/>
        <w:rPr>
          <w:noProof/>
        </w:rPr>
      </w:pPr>
      <w:r w:rsidRPr="008D249A">
        <w:rPr>
          <w:noProof/>
        </w:rPr>
        <w:t>3.</w:t>
      </w:r>
      <w:r w:rsidRPr="008D249A">
        <w:rPr>
          <w:noProof/>
        </w:rPr>
        <w:tab/>
        <w:t xml:space="preserve">Moore, H.; Greenwell, P.W.; Liu, C.-P.; Arnheim, N.; Petes, T.D. Triplet repeats form secondary structures that escape DNA repair in yeast. </w:t>
      </w:r>
      <w:r w:rsidRPr="008D249A">
        <w:rPr>
          <w:i/>
          <w:noProof/>
        </w:rPr>
        <w:t xml:space="preserve">Proceedings of the National Academy of Sciences </w:t>
      </w:r>
      <w:r w:rsidRPr="008D249A">
        <w:rPr>
          <w:b/>
          <w:noProof/>
        </w:rPr>
        <w:t>1999</w:t>
      </w:r>
      <w:r w:rsidRPr="008D249A">
        <w:rPr>
          <w:noProof/>
        </w:rPr>
        <w:t xml:space="preserve">, </w:t>
      </w:r>
      <w:r w:rsidRPr="008D249A">
        <w:rPr>
          <w:i/>
          <w:noProof/>
        </w:rPr>
        <w:t>96</w:t>
      </w:r>
      <w:r w:rsidRPr="008D249A">
        <w:rPr>
          <w:noProof/>
        </w:rPr>
        <w:t>, 1504, doi:10.1073/pnas.96.4.1504.</w:t>
      </w:r>
    </w:p>
    <w:p w:rsidR="008D249A" w:rsidRPr="008D249A" w:rsidRDefault="008D249A" w:rsidP="008D249A">
      <w:pPr>
        <w:pStyle w:val="EndNoteBibliography"/>
        <w:ind w:left="720" w:hanging="720"/>
        <w:rPr>
          <w:noProof/>
        </w:rPr>
      </w:pPr>
      <w:r w:rsidRPr="008D249A">
        <w:rPr>
          <w:noProof/>
        </w:rPr>
        <w:t>4.</w:t>
      </w:r>
      <w:r w:rsidRPr="008D249A">
        <w:rPr>
          <w:noProof/>
        </w:rPr>
        <w:tab/>
        <w:t xml:space="preserve">Dokholyan, N.V.; Buldyrev, S.V.; Havlin, S.; Stanley, H.E. Distributions of dimeric tandem repeats in non-coding and coding DNA sequences. </w:t>
      </w:r>
      <w:r w:rsidRPr="008D249A">
        <w:rPr>
          <w:i/>
          <w:noProof/>
        </w:rPr>
        <w:t xml:space="preserve">Journal of Theoretical Biology </w:t>
      </w:r>
      <w:r w:rsidRPr="008D249A">
        <w:rPr>
          <w:b/>
          <w:noProof/>
        </w:rPr>
        <w:t>2000</w:t>
      </w:r>
      <w:r w:rsidRPr="008D249A">
        <w:rPr>
          <w:noProof/>
        </w:rPr>
        <w:t xml:space="preserve">, </w:t>
      </w:r>
      <w:r w:rsidRPr="008D249A">
        <w:rPr>
          <w:i/>
          <w:noProof/>
        </w:rPr>
        <w:t>202</w:t>
      </w:r>
      <w:r w:rsidRPr="008D249A">
        <w:rPr>
          <w:noProof/>
        </w:rPr>
        <w:t>, 273-282, doi:</w:t>
      </w:r>
      <w:hyperlink r:id="rId12" w:history="1">
        <w:r w:rsidRPr="008D249A">
          <w:rPr>
            <w:rStyle w:val="Hyperlink"/>
            <w:noProof/>
          </w:rPr>
          <w:t>https://doi.org/10.1006/jtbi.1999.1052</w:t>
        </w:r>
      </w:hyperlink>
      <w:r w:rsidRPr="008D249A">
        <w:rPr>
          <w:noProof/>
        </w:rPr>
        <w:t>.</w:t>
      </w:r>
    </w:p>
    <w:p w:rsidR="008D249A" w:rsidRPr="008D249A" w:rsidRDefault="008D249A" w:rsidP="008D249A">
      <w:pPr>
        <w:pStyle w:val="EndNoteBibliography"/>
        <w:ind w:left="720" w:hanging="720"/>
        <w:rPr>
          <w:noProof/>
        </w:rPr>
      </w:pPr>
      <w:r w:rsidRPr="008D249A">
        <w:rPr>
          <w:noProof/>
        </w:rPr>
        <w:t>5.</w:t>
      </w:r>
      <w:r w:rsidRPr="008D249A">
        <w:rPr>
          <w:noProof/>
        </w:rPr>
        <w:tab/>
        <w:t xml:space="preserve">Zhang, L.; Zuo, K.; Zhang, F.; Cao, Y.; Wang, J.; Zhang, Y.; Sun, X.; Tang, K. Conservation of noncoding microsatellites in plants: implication for gene regulation. </w:t>
      </w:r>
      <w:r w:rsidRPr="008D249A">
        <w:rPr>
          <w:i/>
          <w:noProof/>
        </w:rPr>
        <w:t xml:space="preserve">BMC Genomics </w:t>
      </w:r>
      <w:r w:rsidRPr="008D249A">
        <w:rPr>
          <w:b/>
          <w:noProof/>
        </w:rPr>
        <w:t>2006</w:t>
      </w:r>
      <w:r w:rsidRPr="008D249A">
        <w:rPr>
          <w:noProof/>
        </w:rPr>
        <w:t xml:space="preserve">, </w:t>
      </w:r>
      <w:r w:rsidRPr="008D249A">
        <w:rPr>
          <w:i/>
          <w:noProof/>
        </w:rPr>
        <w:t>7</w:t>
      </w:r>
      <w:r w:rsidRPr="008D249A">
        <w:rPr>
          <w:noProof/>
        </w:rPr>
        <w:t>, 323, doi:10.1186/1471-2164-7-323.</w:t>
      </w:r>
    </w:p>
    <w:p w:rsidR="008D249A" w:rsidRPr="008D249A" w:rsidRDefault="008D249A" w:rsidP="008D249A">
      <w:pPr>
        <w:pStyle w:val="EndNoteBibliography"/>
        <w:ind w:left="720" w:hanging="720"/>
        <w:rPr>
          <w:noProof/>
        </w:rPr>
      </w:pPr>
      <w:r w:rsidRPr="008D249A">
        <w:rPr>
          <w:noProof/>
        </w:rPr>
        <w:t>6.</w:t>
      </w:r>
      <w:r w:rsidRPr="008D249A">
        <w:rPr>
          <w:noProof/>
        </w:rPr>
        <w:tab/>
        <w:t xml:space="preserve">Fujimori, S.; Washio, T.; Higo, K.; Ohtomo, Y.; Murakami, K.; Matsubara, K.; Kawai, J.; Carninci, P.; Hayashizaki, Y.; Kikuchi, S., et al. A novel feature of microsatellites in plants: a distribution gradient along the direction of transcription. </w:t>
      </w:r>
      <w:r w:rsidRPr="008D249A">
        <w:rPr>
          <w:i/>
          <w:noProof/>
        </w:rPr>
        <w:t xml:space="preserve">FEBS Letters </w:t>
      </w:r>
      <w:r w:rsidRPr="008D249A">
        <w:rPr>
          <w:b/>
          <w:noProof/>
        </w:rPr>
        <w:t>2003</w:t>
      </w:r>
      <w:r w:rsidRPr="008D249A">
        <w:rPr>
          <w:noProof/>
        </w:rPr>
        <w:t xml:space="preserve">, </w:t>
      </w:r>
      <w:r w:rsidRPr="008D249A">
        <w:rPr>
          <w:i/>
          <w:noProof/>
        </w:rPr>
        <w:t>554</w:t>
      </w:r>
      <w:r w:rsidRPr="008D249A">
        <w:rPr>
          <w:noProof/>
        </w:rPr>
        <w:t>, 17-22, doi:10.1016/s0014-5793(03)01041-x.</w:t>
      </w:r>
    </w:p>
    <w:p w:rsidR="008D249A" w:rsidRPr="008D249A" w:rsidRDefault="008D249A" w:rsidP="008D249A">
      <w:pPr>
        <w:pStyle w:val="EndNoteBibliography"/>
        <w:ind w:left="720" w:hanging="720"/>
        <w:rPr>
          <w:noProof/>
        </w:rPr>
      </w:pPr>
      <w:r w:rsidRPr="008D249A">
        <w:rPr>
          <w:noProof/>
        </w:rPr>
        <w:t>7.</w:t>
      </w:r>
      <w:r w:rsidRPr="008D249A">
        <w:rPr>
          <w:noProof/>
        </w:rPr>
        <w:tab/>
        <w:t xml:space="preserve">Ellegren, H. Microsatellite mutations in the germline:: implications for evolutionary inference. </w:t>
      </w:r>
      <w:r w:rsidRPr="008D249A">
        <w:rPr>
          <w:i/>
          <w:noProof/>
        </w:rPr>
        <w:t xml:space="preserve">Trends in Genetics </w:t>
      </w:r>
      <w:r w:rsidRPr="008D249A">
        <w:rPr>
          <w:b/>
          <w:noProof/>
        </w:rPr>
        <w:t>2000</w:t>
      </w:r>
      <w:r w:rsidRPr="008D249A">
        <w:rPr>
          <w:noProof/>
        </w:rPr>
        <w:t xml:space="preserve">, </w:t>
      </w:r>
      <w:r w:rsidRPr="008D249A">
        <w:rPr>
          <w:i/>
          <w:noProof/>
        </w:rPr>
        <w:t>16</w:t>
      </w:r>
      <w:r w:rsidRPr="008D249A">
        <w:rPr>
          <w:noProof/>
        </w:rPr>
        <w:t>, 551-558, doi:</w:t>
      </w:r>
      <w:hyperlink r:id="rId13" w:history="1">
        <w:r w:rsidRPr="008D249A">
          <w:rPr>
            <w:rStyle w:val="Hyperlink"/>
            <w:noProof/>
          </w:rPr>
          <w:t>https://doi.org/10.1016/S0168-9525(00)02139-9</w:t>
        </w:r>
      </w:hyperlink>
      <w:r w:rsidRPr="008D249A">
        <w:rPr>
          <w:noProof/>
        </w:rPr>
        <w:t>.</w:t>
      </w:r>
    </w:p>
    <w:p w:rsidR="008D249A" w:rsidRPr="008D249A" w:rsidRDefault="008D249A" w:rsidP="008D249A">
      <w:pPr>
        <w:pStyle w:val="EndNoteBibliography"/>
        <w:ind w:left="720" w:hanging="720"/>
        <w:rPr>
          <w:noProof/>
        </w:rPr>
      </w:pPr>
      <w:r w:rsidRPr="008D249A">
        <w:rPr>
          <w:noProof/>
        </w:rPr>
        <w:t>8.</w:t>
      </w:r>
      <w:r w:rsidRPr="008D249A">
        <w:rPr>
          <w:noProof/>
        </w:rPr>
        <w:tab/>
        <w:t xml:space="preserve">Slatkin, M. A measure of population subdivision based on microsatellite allele frequencies. </w:t>
      </w:r>
      <w:r w:rsidRPr="008D249A">
        <w:rPr>
          <w:i/>
          <w:noProof/>
        </w:rPr>
        <w:t xml:space="preserve">Genetics </w:t>
      </w:r>
      <w:r w:rsidRPr="008D249A">
        <w:rPr>
          <w:b/>
          <w:noProof/>
        </w:rPr>
        <w:t>1995</w:t>
      </w:r>
      <w:r w:rsidRPr="008D249A">
        <w:rPr>
          <w:noProof/>
        </w:rPr>
        <w:t xml:space="preserve">, </w:t>
      </w:r>
      <w:r w:rsidRPr="008D249A">
        <w:rPr>
          <w:i/>
          <w:noProof/>
        </w:rPr>
        <w:t>139</w:t>
      </w:r>
      <w:r w:rsidRPr="008D249A">
        <w:rPr>
          <w:noProof/>
        </w:rPr>
        <w:t>, 457-462.</w:t>
      </w:r>
    </w:p>
    <w:p w:rsidR="008D249A" w:rsidRPr="008D249A" w:rsidRDefault="008D249A" w:rsidP="008D249A">
      <w:pPr>
        <w:pStyle w:val="EndNoteBibliography"/>
        <w:ind w:left="720" w:hanging="720"/>
        <w:rPr>
          <w:noProof/>
        </w:rPr>
      </w:pPr>
      <w:r w:rsidRPr="008D249A">
        <w:rPr>
          <w:noProof/>
        </w:rPr>
        <w:t>9.</w:t>
      </w:r>
      <w:r w:rsidRPr="008D249A">
        <w:rPr>
          <w:noProof/>
        </w:rPr>
        <w:tab/>
        <w:t xml:space="preserve">Criscione, C.D.; Vilas, R.; Paniagua, E.; Blouin, M.S. More than meets the eye: detecting cryptic microgeographic population structure in a parasite with a complex life cycle. </w:t>
      </w:r>
      <w:r w:rsidRPr="008D249A">
        <w:rPr>
          <w:i/>
          <w:noProof/>
        </w:rPr>
        <w:t xml:space="preserve">Molecular Ecology </w:t>
      </w:r>
      <w:r w:rsidRPr="008D249A">
        <w:rPr>
          <w:b/>
          <w:noProof/>
        </w:rPr>
        <w:t>2011</w:t>
      </w:r>
      <w:r w:rsidRPr="008D249A">
        <w:rPr>
          <w:noProof/>
        </w:rPr>
        <w:t xml:space="preserve">, </w:t>
      </w:r>
      <w:r w:rsidRPr="008D249A">
        <w:rPr>
          <w:i/>
          <w:noProof/>
        </w:rPr>
        <w:t>20</w:t>
      </w:r>
      <w:r w:rsidRPr="008D249A">
        <w:rPr>
          <w:noProof/>
        </w:rPr>
        <w:t>, 2510-2524.</w:t>
      </w:r>
    </w:p>
    <w:p w:rsidR="008D249A" w:rsidRPr="008D249A" w:rsidRDefault="008D249A" w:rsidP="008D249A">
      <w:pPr>
        <w:pStyle w:val="EndNoteBibliography"/>
        <w:ind w:left="720" w:hanging="720"/>
        <w:rPr>
          <w:noProof/>
        </w:rPr>
      </w:pPr>
      <w:r w:rsidRPr="008D249A">
        <w:rPr>
          <w:noProof/>
        </w:rPr>
        <w:t>10.</w:t>
      </w:r>
      <w:r w:rsidRPr="008D249A">
        <w:rPr>
          <w:noProof/>
        </w:rPr>
        <w:tab/>
        <w:t xml:space="preserve">Ballantyne, K.N.; Goedbloed, M.; Fang, R.; Schaap, O.; Lao, O.; Wollstein, A.; Choi, Y.; van Duijn, K.; Vermeulen, M.; Brauer, S. Mutability of Y-chromosomal microsatellites: rates, characteristics, molecular bases, and forensic implications. </w:t>
      </w:r>
      <w:r w:rsidRPr="008D249A">
        <w:rPr>
          <w:i/>
          <w:noProof/>
        </w:rPr>
        <w:t xml:space="preserve">The American Journal of Human Genetics </w:t>
      </w:r>
      <w:r w:rsidRPr="008D249A">
        <w:rPr>
          <w:b/>
          <w:noProof/>
        </w:rPr>
        <w:t>2010</w:t>
      </w:r>
      <w:r w:rsidRPr="008D249A">
        <w:rPr>
          <w:noProof/>
        </w:rPr>
        <w:t xml:space="preserve">, </w:t>
      </w:r>
      <w:r w:rsidRPr="008D249A">
        <w:rPr>
          <w:i/>
          <w:noProof/>
        </w:rPr>
        <w:t>87</w:t>
      </w:r>
      <w:r w:rsidRPr="008D249A">
        <w:rPr>
          <w:noProof/>
        </w:rPr>
        <w:t>, 341-353.</w:t>
      </w:r>
    </w:p>
    <w:p w:rsidR="008D249A" w:rsidRPr="008D249A" w:rsidRDefault="008D249A" w:rsidP="008D249A">
      <w:pPr>
        <w:pStyle w:val="EndNoteBibliography"/>
        <w:ind w:left="720" w:hanging="720"/>
        <w:rPr>
          <w:noProof/>
        </w:rPr>
      </w:pPr>
      <w:r w:rsidRPr="008D249A">
        <w:rPr>
          <w:noProof/>
        </w:rPr>
        <w:t>11.</w:t>
      </w:r>
      <w:r w:rsidRPr="008D249A">
        <w:rPr>
          <w:noProof/>
        </w:rPr>
        <w:tab/>
        <w:t xml:space="preserve">Blouin, M.S. DNA-based methods for pedigree reconstruction and kinship analysis in natural populations. </w:t>
      </w:r>
      <w:r w:rsidRPr="008D249A">
        <w:rPr>
          <w:i/>
          <w:noProof/>
        </w:rPr>
        <w:t xml:space="preserve">Trends in Ecology &amp; Evolution </w:t>
      </w:r>
      <w:r w:rsidRPr="008D249A">
        <w:rPr>
          <w:b/>
          <w:noProof/>
        </w:rPr>
        <w:t>2003</w:t>
      </w:r>
      <w:r w:rsidRPr="008D249A">
        <w:rPr>
          <w:noProof/>
        </w:rPr>
        <w:t xml:space="preserve">, </w:t>
      </w:r>
      <w:r w:rsidRPr="008D249A">
        <w:rPr>
          <w:i/>
          <w:noProof/>
        </w:rPr>
        <w:t>18</w:t>
      </w:r>
      <w:r w:rsidRPr="008D249A">
        <w:rPr>
          <w:noProof/>
        </w:rPr>
        <w:t>, 503-511.</w:t>
      </w:r>
    </w:p>
    <w:p w:rsidR="008D249A" w:rsidRPr="008D249A" w:rsidRDefault="008D249A" w:rsidP="008D249A">
      <w:pPr>
        <w:pStyle w:val="EndNoteBibliography"/>
        <w:ind w:left="720" w:hanging="720"/>
        <w:rPr>
          <w:noProof/>
        </w:rPr>
      </w:pPr>
      <w:r w:rsidRPr="008D249A">
        <w:rPr>
          <w:noProof/>
        </w:rPr>
        <w:t>12.</w:t>
      </w:r>
      <w:r w:rsidRPr="008D249A">
        <w:rPr>
          <w:noProof/>
        </w:rPr>
        <w:tab/>
        <w:t xml:space="preserve">Highnam, G.; Franck, C.; Martin, A.; Stephens, C.; Puthige, A.; Mittelman, D. Accurate human microsatellite genotypes from high-throughput resequencing data using informed error profiles. </w:t>
      </w:r>
      <w:r w:rsidRPr="008D249A">
        <w:rPr>
          <w:i/>
          <w:noProof/>
        </w:rPr>
        <w:t xml:space="preserve">Nucleic Acids Research </w:t>
      </w:r>
      <w:r w:rsidRPr="008D249A">
        <w:rPr>
          <w:b/>
          <w:noProof/>
        </w:rPr>
        <w:t>2012</w:t>
      </w:r>
      <w:r w:rsidRPr="008D249A">
        <w:rPr>
          <w:noProof/>
        </w:rPr>
        <w:t xml:space="preserve">, </w:t>
      </w:r>
      <w:r w:rsidRPr="008D249A">
        <w:rPr>
          <w:i/>
          <w:noProof/>
        </w:rPr>
        <w:t>41</w:t>
      </w:r>
      <w:r w:rsidRPr="008D249A">
        <w:rPr>
          <w:noProof/>
        </w:rPr>
        <w:t>, e32-e32.</w:t>
      </w:r>
    </w:p>
    <w:p w:rsidR="008D249A" w:rsidRPr="008D249A" w:rsidRDefault="008D249A" w:rsidP="008D249A">
      <w:pPr>
        <w:pStyle w:val="EndNoteBibliography"/>
        <w:ind w:left="720" w:hanging="720"/>
        <w:rPr>
          <w:noProof/>
        </w:rPr>
      </w:pPr>
      <w:r w:rsidRPr="008D249A">
        <w:rPr>
          <w:noProof/>
        </w:rPr>
        <w:t>13.</w:t>
      </w:r>
      <w:r w:rsidRPr="008D249A">
        <w:rPr>
          <w:noProof/>
        </w:rPr>
        <w:tab/>
        <w:t xml:space="preserve">Field D, W.C. Abundant microsatellite polymorphism in Saccharomyces cerevisiae, and the different distributions of microsatellites in eight prokaryotes and S. cerevisiae, result from strong mutation pressures and a variety of selective forces. </w:t>
      </w:r>
      <w:r w:rsidRPr="008D249A">
        <w:rPr>
          <w:i/>
          <w:noProof/>
        </w:rPr>
        <w:t xml:space="preserve">Proceedings of the National Academy of Sciences of the United States of America (USA) </w:t>
      </w:r>
      <w:r w:rsidRPr="008D249A">
        <w:rPr>
          <w:b/>
          <w:noProof/>
        </w:rPr>
        <w:t>1998</w:t>
      </w:r>
      <w:r w:rsidRPr="008D249A">
        <w:rPr>
          <w:noProof/>
        </w:rPr>
        <w:t xml:space="preserve">, </w:t>
      </w:r>
      <w:r w:rsidRPr="008D249A">
        <w:rPr>
          <w:i/>
          <w:noProof/>
        </w:rPr>
        <w:t>95</w:t>
      </w:r>
      <w:r w:rsidRPr="008D249A">
        <w:rPr>
          <w:noProof/>
        </w:rPr>
        <w:t>, 1647-1652.</w:t>
      </w:r>
    </w:p>
    <w:p w:rsidR="008D249A" w:rsidRPr="008D249A" w:rsidRDefault="008D249A" w:rsidP="008D249A">
      <w:pPr>
        <w:pStyle w:val="EndNoteBibliography"/>
        <w:ind w:left="720" w:hanging="720"/>
        <w:rPr>
          <w:noProof/>
        </w:rPr>
      </w:pPr>
      <w:r w:rsidRPr="008D249A">
        <w:rPr>
          <w:noProof/>
        </w:rPr>
        <w:t>14.</w:t>
      </w:r>
      <w:r w:rsidRPr="008D249A">
        <w:rPr>
          <w:noProof/>
        </w:rPr>
        <w:tab/>
        <w:t xml:space="preserve">Pearson, C.E.; Sinden, R.R. Alternative structures in duplex DNA formed within the trinucleotide repeats of the myotonic dystrophy and fragile X loci. </w:t>
      </w:r>
      <w:r w:rsidRPr="008D249A">
        <w:rPr>
          <w:i/>
          <w:noProof/>
        </w:rPr>
        <w:t xml:space="preserve">Biochemistry </w:t>
      </w:r>
      <w:r w:rsidRPr="008D249A">
        <w:rPr>
          <w:b/>
          <w:noProof/>
        </w:rPr>
        <w:t>1996</w:t>
      </w:r>
      <w:r w:rsidRPr="008D249A">
        <w:rPr>
          <w:noProof/>
        </w:rPr>
        <w:t xml:space="preserve">, </w:t>
      </w:r>
      <w:r w:rsidRPr="008D249A">
        <w:rPr>
          <w:i/>
          <w:noProof/>
        </w:rPr>
        <w:t>35</w:t>
      </w:r>
      <w:r w:rsidRPr="008D249A">
        <w:rPr>
          <w:noProof/>
        </w:rPr>
        <w:t>, 5041-5053, doi:10.1021/bi9601013.</w:t>
      </w:r>
    </w:p>
    <w:p w:rsidR="008D249A" w:rsidRPr="008D249A" w:rsidRDefault="008D249A" w:rsidP="008D249A">
      <w:pPr>
        <w:pStyle w:val="EndNoteBibliography"/>
        <w:ind w:left="720" w:hanging="720"/>
        <w:rPr>
          <w:noProof/>
        </w:rPr>
      </w:pPr>
      <w:r w:rsidRPr="008D249A">
        <w:rPr>
          <w:noProof/>
        </w:rPr>
        <w:t>15.</w:t>
      </w:r>
      <w:r w:rsidRPr="008D249A">
        <w:rPr>
          <w:noProof/>
        </w:rPr>
        <w:tab/>
        <w:t xml:space="preserve">Schmidt, T.; Heslop-Harrison, J.S. The physical and genomic organization of microsatellites in sugar beet. </w:t>
      </w:r>
      <w:r w:rsidRPr="008D249A">
        <w:rPr>
          <w:i/>
          <w:noProof/>
        </w:rPr>
        <w:t xml:space="preserve">Proceedings of the National Academy of Sciences </w:t>
      </w:r>
      <w:r w:rsidRPr="008D249A">
        <w:rPr>
          <w:b/>
          <w:noProof/>
        </w:rPr>
        <w:t>1996</w:t>
      </w:r>
      <w:r w:rsidRPr="008D249A">
        <w:rPr>
          <w:noProof/>
        </w:rPr>
        <w:t xml:space="preserve">, </w:t>
      </w:r>
      <w:r w:rsidRPr="008D249A">
        <w:rPr>
          <w:i/>
          <w:noProof/>
        </w:rPr>
        <w:t>93</w:t>
      </w:r>
      <w:r w:rsidRPr="008D249A">
        <w:rPr>
          <w:noProof/>
        </w:rPr>
        <w:t>, 8761, doi:10.1073/pnas.93.16.8761.</w:t>
      </w:r>
    </w:p>
    <w:p w:rsidR="008D249A" w:rsidRPr="008D249A" w:rsidRDefault="008D249A" w:rsidP="008D249A">
      <w:pPr>
        <w:pStyle w:val="EndNoteBibliography"/>
        <w:ind w:left="720" w:hanging="720"/>
        <w:rPr>
          <w:noProof/>
        </w:rPr>
      </w:pPr>
      <w:r w:rsidRPr="008D249A">
        <w:rPr>
          <w:noProof/>
        </w:rPr>
        <w:t>16.</w:t>
      </w:r>
      <w:r w:rsidRPr="008D249A">
        <w:rPr>
          <w:noProof/>
        </w:rPr>
        <w:tab/>
        <w:t xml:space="preserve">Hoffman, E.K.; Trusko, S.P.; Murphy, M.; George, D.L. An S1 nuclease-sensitive homopurine/homopyrimidine domain in the c-Ki-ras promoter interacts with a nuclear factor. </w:t>
      </w:r>
      <w:r w:rsidRPr="008D249A">
        <w:rPr>
          <w:i/>
          <w:noProof/>
        </w:rPr>
        <w:t xml:space="preserve">Proceedings of the National Academy of Sciences </w:t>
      </w:r>
      <w:r w:rsidRPr="008D249A">
        <w:rPr>
          <w:b/>
          <w:noProof/>
        </w:rPr>
        <w:t>1990</w:t>
      </w:r>
      <w:r w:rsidRPr="008D249A">
        <w:rPr>
          <w:noProof/>
        </w:rPr>
        <w:t xml:space="preserve">, </w:t>
      </w:r>
      <w:r w:rsidRPr="008D249A">
        <w:rPr>
          <w:i/>
          <w:noProof/>
        </w:rPr>
        <w:t>87</w:t>
      </w:r>
      <w:r w:rsidRPr="008D249A">
        <w:rPr>
          <w:noProof/>
        </w:rPr>
        <w:t>, 2705.</w:t>
      </w:r>
    </w:p>
    <w:p w:rsidR="008D249A" w:rsidRPr="008D249A" w:rsidRDefault="008D249A" w:rsidP="008D249A">
      <w:pPr>
        <w:pStyle w:val="EndNoteBibliography"/>
        <w:ind w:left="720" w:hanging="720"/>
        <w:rPr>
          <w:noProof/>
        </w:rPr>
      </w:pPr>
      <w:r w:rsidRPr="008D249A">
        <w:rPr>
          <w:noProof/>
        </w:rPr>
        <w:lastRenderedPageBreak/>
        <w:t>17.</w:t>
      </w:r>
      <w:r w:rsidRPr="008D249A">
        <w:rPr>
          <w:noProof/>
        </w:rPr>
        <w:tab/>
        <w:t xml:space="preserve">Chamberlain, N.L.; Driver, E.D.; Miesfeld, R.L. The length and location of CAG trinucleotide repeats in the androgen receptor N-terminal domain affect transactivation function. </w:t>
      </w:r>
      <w:r w:rsidRPr="008D249A">
        <w:rPr>
          <w:i/>
          <w:noProof/>
        </w:rPr>
        <w:t xml:space="preserve">Nucleic Acids Research </w:t>
      </w:r>
      <w:r w:rsidRPr="008D249A">
        <w:rPr>
          <w:b/>
          <w:noProof/>
        </w:rPr>
        <w:t>1994</w:t>
      </w:r>
      <w:r w:rsidRPr="008D249A">
        <w:rPr>
          <w:noProof/>
        </w:rPr>
        <w:t xml:space="preserve">, </w:t>
      </w:r>
      <w:r w:rsidRPr="008D249A">
        <w:rPr>
          <w:i/>
          <w:noProof/>
        </w:rPr>
        <w:t>22</w:t>
      </w:r>
      <w:r w:rsidRPr="008D249A">
        <w:rPr>
          <w:noProof/>
        </w:rPr>
        <w:t>, 3181-3186.</w:t>
      </w:r>
    </w:p>
    <w:p w:rsidR="008D249A" w:rsidRPr="008D249A" w:rsidRDefault="008D249A" w:rsidP="008D249A">
      <w:pPr>
        <w:pStyle w:val="EndNoteBibliography"/>
        <w:ind w:left="720" w:hanging="720"/>
        <w:rPr>
          <w:noProof/>
        </w:rPr>
      </w:pPr>
      <w:r w:rsidRPr="008D249A">
        <w:rPr>
          <w:noProof/>
        </w:rPr>
        <w:t>18.</w:t>
      </w:r>
      <w:r w:rsidRPr="008D249A">
        <w:rPr>
          <w:noProof/>
        </w:rPr>
        <w:tab/>
        <w:t xml:space="preserve">Lue, N.F.; Buchman, A.R.; Kornberg, R.D. Activation of yeast RNA polymerase II transcription by a thymidine-rich upstream element in vitro. </w:t>
      </w:r>
      <w:r w:rsidRPr="008D249A">
        <w:rPr>
          <w:i/>
          <w:noProof/>
        </w:rPr>
        <w:t xml:space="preserve">Proceedings of the National Academy of Sciences </w:t>
      </w:r>
      <w:r w:rsidRPr="008D249A">
        <w:rPr>
          <w:b/>
          <w:noProof/>
        </w:rPr>
        <w:t>1989</w:t>
      </w:r>
      <w:r w:rsidRPr="008D249A">
        <w:rPr>
          <w:noProof/>
        </w:rPr>
        <w:t xml:space="preserve">, </w:t>
      </w:r>
      <w:r w:rsidRPr="008D249A">
        <w:rPr>
          <w:i/>
          <w:noProof/>
        </w:rPr>
        <w:t>86</w:t>
      </w:r>
      <w:r w:rsidRPr="008D249A">
        <w:rPr>
          <w:noProof/>
        </w:rPr>
        <w:t>, 486, doi:10.1073/pnas.86.2.486.</w:t>
      </w:r>
    </w:p>
    <w:p w:rsidR="008D249A" w:rsidRPr="008D249A" w:rsidRDefault="008D249A" w:rsidP="008D249A">
      <w:pPr>
        <w:pStyle w:val="EndNoteBibliography"/>
        <w:ind w:left="720" w:hanging="720"/>
        <w:rPr>
          <w:noProof/>
        </w:rPr>
      </w:pPr>
      <w:r w:rsidRPr="008D249A">
        <w:rPr>
          <w:noProof/>
        </w:rPr>
        <w:t>19.</w:t>
      </w:r>
      <w:r w:rsidRPr="008D249A">
        <w:rPr>
          <w:noProof/>
        </w:rPr>
        <w:tab/>
        <w:t xml:space="preserve">Sandberg, G.; Schalling, M. Effect of in vitro promoter methylation and CGG repeat expansion on FMR-1 expression. </w:t>
      </w:r>
      <w:r w:rsidRPr="008D249A">
        <w:rPr>
          <w:i/>
          <w:noProof/>
        </w:rPr>
        <w:t xml:space="preserve">Nucleic Acids Research </w:t>
      </w:r>
      <w:r w:rsidRPr="008D249A">
        <w:rPr>
          <w:b/>
          <w:noProof/>
        </w:rPr>
        <w:t>1997</w:t>
      </w:r>
      <w:r w:rsidRPr="008D249A">
        <w:rPr>
          <w:noProof/>
        </w:rPr>
        <w:t xml:space="preserve">, </w:t>
      </w:r>
      <w:r w:rsidRPr="008D249A">
        <w:rPr>
          <w:i/>
          <w:noProof/>
        </w:rPr>
        <w:t>25</w:t>
      </w:r>
      <w:r w:rsidRPr="008D249A">
        <w:rPr>
          <w:noProof/>
        </w:rPr>
        <w:t>, 2883-2887, doi:10.1093/nar/25.14.2883.</w:t>
      </w:r>
    </w:p>
    <w:p w:rsidR="008D249A" w:rsidRPr="008D249A" w:rsidRDefault="008D249A" w:rsidP="008D249A">
      <w:pPr>
        <w:pStyle w:val="EndNoteBibliography"/>
        <w:ind w:left="720" w:hanging="720"/>
        <w:rPr>
          <w:noProof/>
        </w:rPr>
      </w:pPr>
      <w:r w:rsidRPr="008D249A">
        <w:rPr>
          <w:noProof/>
        </w:rPr>
        <w:t>20.</w:t>
      </w:r>
      <w:r w:rsidRPr="008D249A">
        <w:rPr>
          <w:noProof/>
        </w:rPr>
        <w:tab/>
        <w:t xml:space="preserve">Rubinsztein, D.C.; Leggo, J.; Coetzee, G.A.; Irvine, R.A.; Buckley, M.; Ferguson-Smith, M.A. Sequence variation and size ranges of CAG repeats in the Machado-Joseph disease, spinocerebellar ataxia type 1 and androgen receptor genes. </w:t>
      </w:r>
      <w:r w:rsidRPr="008D249A">
        <w:rPr>
          <w:i/>
          <w:noProof/>
        </w:rPr>
        <w:t xml:space="preserve">Human Molecular Genetics </w:t>
      </w:r>
      <w:r w:rsidRPr="008D249A">
        <w:rPr>
          <w:b/>
          <w:noProof/>
        </w:rPr>
        <w:t>1995</w:t>
      </w:r>
      <w:r w:rsidRPr="008D249A">
        <w:rPr>
          <w:noProof/>
        </w:rPr>
        <w:t xml:space="preserve">, </w:t>
      </w:r>
      <w:r w:rsidRPr="008D249A">
        <w:rPr>
          <w:i/>
          <w:noProof/>
        </w:rPr>
        <w:t>4</w:t>
      </w:r>
      <w:r w:rsidRPr="008D249A">
        <w:rPr>
          <w:noProof/>
        </w:rPr>
        <w:t>, 1585-1590, doi:10.1093/hmg/4.9.1585.</w:t>
      </w:r>
    </w:p>
    <w:p w:rsidR="008D249A" w:rsidRPr="008D249A" w:rsidRDefault="008D249A" w:rsidP="008D249A">
      <w:pPr>
        <w:pStyle w:val="EndNoteBibliography"/>
        <w:ind w:left="720" w:hanging="720"/>
        <w:rPr>
          <w:noProof/>
        </w:rPr>
      </w:pPr>
      <w:r w:rsidRPr="008D249A">
        <w:rPr>
          <w:noProof/>
        </w:rPr>
        <w:t>21.</w:t>
      </w:r>
      <w:r w:rsidRPr="008D249A">
        <w:rPr>
          <w:noProof/>
        </w:rPr>
        <w:tab/>
        <w:t xml:space="preserve">Eisen, J.A. Mechanistic basis for microsatellite instability. </w:t>
      </w:r>
      <w:r w:rsidRPr="008D249A">
        <w:rPr>
          <w:i/>
          <w:noProof/>
        </w:rPr>
        <w:t xml:space="preserve">Microsatellites : evolution and applications </w:t>
      </w:r>
      <w:r w:rsidRPr="008D249A">
        <w:rPr>
          <w:b/>
          <w:noProof/>
        </w:rPr>
        <w:t>1999</w:t>
      </w:r>
      <w:r w:rsidRPr="008D249A">
        <w:rPr>
          <w:noProof/>
        </w:rPr>
        <w:t>, 34-48.</w:t>
      </w:r>
    </w:p>
    <w:p w:rsidR="008D249A" w:rsidRPr="008D249A" w:rsidRDefault="008D249A" w:rsidP="008D249A">
      <w:pPr>
        <w:pStyle w:val="EndNoteBibliography"/>
        <w:ind w:left="720" w:hanging="720"/>
        <w:rPr>
          <w:noProof/>
        </w:rPr>
      </w:pPr>
      <w:r w:rsidRPr="008D249A">
        <w:rPr>
          <w:noProof/>
        </w:rPr>
        <w:t>22.</w:t>
      </w:r>
      <w:r w:rsidRPr="008D249A">
        <w:rPr>
          <w:noProof/>
        </w:rPr>
        <w:tab/>
        <w:t xml:space="preserve">Klintschar, M.; Dauber, E.M.; Ricci, U.; Cerri, N.; Immel, U.D.; Kleiber, M.; Mayr, W.R. Haplotype studies support slippage as the mechanism of germline mutations in short tandem repeats. </w:t>
      </w:r>
      <w:r w:rsidRPr="008D249A">
        <w:rPr>
          <w:i/>
          <w:noProof/>
        </w:rPr>
        <w:t xml:space="preserve">Electrophoresis </w:t>
      </w:r>
      <w:r w:rsidRPr="008D249A">
        <w:rPr>
          <w:b/>
          <w:noProof/>
        </w:rPr>
        <w:t>2004</w:t>
      </w:r>
      <w:r w:rsidRPr="008D249A">
        <w:rPr>
          <w:noProof/>
        </w:rPr>
        <w:t xml:space="preserve">, </w:t>
      </w:r>
      <w:r w:rsidRPr="008D249A">
        <w:rPr>
          <w:i/>
          <w:noProof/>
        </w:rPr>
        <w:t>25</w:t>
      </w:r>
      <w:r w:rsidRPr="008D249A">
        <w:rPr>
          <w:noProof/>
        </w:rPr>
        <w:t>, 3344-3348.</w:t>
      </w:r>
    </w:p>
    <w:p w:rsidR="008D249A" w:rsidRPr="008D249A" w:rsidRDefault="008D249A" w:rsidP="008D249A">
      <w:pPr>
        <w:pStyle w:val="EndNoteBibliography"/>
        <w:ind w:left="720" w:hanging="720"/>
        <w:rPr>
          <w:noProof/>
        </w:rPr>
      </w:pPr>
      <w:r w:rsidRPr="008D249A">
        <w:rPr>
          <w:noProof/>
        </w:rPr>
        <w:t>23.</w:t>
      </w:r>
      <w:r w:rsidRPr="008D249A">
        <w:rPr>
          <w:noProof/>
        </w:rPr>
        <w:tab/>
        <w:t xml:space="preserve">Tóth, G.; Gáspári, Z.; Jurka, J. Microsatellites in different eukaryotic genomes: survey and analysis. </w:t>
      </w:r>
      <w:r w:rsidRPr="008D249A">
        <w:rPr>
          <w:i/>
          <w:noProof/>
        </w:rPr>
        <w:t xml:space="preserve">Genome research </w:t>
      </w:r>
      <w:r w:rsidRPr="008D249A">
        <w:rPr>
          <w:b/>
          <w:noProof/>
        </w:rPr>
        <w:t>2000</w:t>
      </w:r>
      <w:r w:rsidRPr="008D249A">
        <w:rPr>
          <w:noProof/>
        </w:rPr>
        <w:t xml:space="preserve">, </w:t>
      </w:r>
      <w:r w:rsidRPr="008D249A">
        <w:rPr>
          <w:i/>
          <w:noProof/>
        </w:rPr>
        <w:t>10</w:t>
      </w:r>
      <w:r w:rsidRPr="008D249A">
        <w:rPr>
          <w:noProof/>
        </w:rPr>
        <w:t>, 967-981.</w:t>
      </w:r>
    </w:p>
    <w:p w:rsidR="008D249A" w:rsidRPr="008D249A" w:rsidRDefault="008D249A" w:rsidP="008D249A">
      <w:pPr>
        <w:pStyle w:val="EndNoteBibliography"/>
        <w:ind w:left="720" w:hanging="720"/>
        <w:rPr>
          <w:noProof/>
        </w:rPr>
      </w:pPr>
      <w:r w:rsidRPr="008D249A">
        <w:rPr>
          <w:noProof/>
        </w:rPr>
        <w:t>24.</w:t>
      </w:r>
      <w:r w:rsidRPr="008D249A">
        <w:rPr>
          <w:noProof/>
        </w:rPr>
        <w:tab/>
        <w:t xml:space="preserve">Bell, C.J.; Ecker, J.R. Assignment of 30 microsatellite loci to the linkage map of Arabidopsis. </w:t>
      </w:r>
      <w:r w:rsidRPr="008D249A">
        <w:rPr>
          <w:i/>
          <w:noProof/>
        </w:rPr>
        <w:t xml:space="preserve">Genomics </w:t>
      </w:r>
      <w:r w:rsidRPr="008D249A">
        <w:rPr>
          <w:b/>
          <w:noProof/>
        </w:rPr>
        <w:t>1994</w:t>
      </w:r>
      <w:r w:rsidRPr="008D249A">
        <w:rPr>
          <w:noProof/>
        </w:rPr>
        <w:t xml:space="preserve">, </w:t>
      </w:r>
      <w:r w:rsidRPr="008D249A">
        <w:rPr>
          <w:i/>
          <w:noProof/>
        </w:rPr>
        <w:t>19</w:t>
      </w:r>
      <w:r w:rsidRPr="008D249A">
        <w:rPr>
          <w:noProof/>
        </w:rPr>
        <w:t>, 137-144.</w:t>
      </w:r>
    </w:p>
    <w:p w:rsidR="008D249A" w:rsidRPr="008D249A" w:rsidRDefault="008D249A" w:rsidP="008D249A">
      <w:pPr>
        <w:pStyle w:val="EndNoteBibliography"/>
        <w:ind w:left="720" w:hanging="720"/>
        <w:rPr>
          <w:noProof/>
        </w:rPr>
      </w:pPr>
      <w:r w:rsidRPr="008D249A">
        <w:rPr>
          <w:noProof/>
        </w:rPr>
        <w:t>25.</w:t>
      </w:r>
      <w:r w:rsidRPr="008D249A">
        <w:rPr>
          <w:noProof/>
        </w:rPr>
        <w:tab/>
        <w:t xml:space="preserve">Neff, B.D.; Gross, M.R. Microsatellite evolution in vertebrates: inference from AC dinucleotide repeats. </w:t>
      </w:r>
      <w:r w:rsidRPr="008D249A">
        <w:rPr>
          <w:i/>
          <w:noProof/>
        </w:rPr>
        <w:t xml:space="preserve">Evolution </w:t>
      </w:r>
      <w:r w:rsidRPr="008D249A">
        <w:rPr>
          <w:b/>
          <w:noProof/>
        </w:rPr>
        <w:t>2001</w:t>
      </w:r>
      <w:r w:rsidRPr="008D249A">
        <w:rPr>
          <w:noProof/>
        </w:rPr>
        <w:t xml:space="preserve">, </w:t>
      </w:r>
      <w:r w:rsidRPr="008D249A">
        <w:rPr>
          <w:i/>
          <w:noProof/>
        </w:rPr>
        <w:t>55</w:t>
      </w:r>
      <w:r w:rsidRPr="008D249A">
        <w:rPr>
          <w:noProof/>
        </w:rPr>
        <w:t>, 1717-1733.</w:t>
      </w:r>
    </w:p>
    <w:p w:rsidR="008D249A" w:rsidRPr="008D249A" w:rsidRDefault="008D249A" w:rsidP="008D249A">
      <w:pPr>
        <w:pStyle w:val="EndNoteBibliography"/>
        <w:ind w:left="720" w:hanging="720"/>
        <w:rPr>
          <w:noProof/>
        </w:rPr>
      </w:pPr>
      <w:r w:rsidRPr="008D249A">
        <w:rPr>
          <w:noProof/>
        </w:rPr>
        <w:t>26.</w:t>
      </w:r>
      <w:r w:rsidRPr="008D249A">
        <w:rPr>
          <w:noProof/>
        </w:rPr>
        <w:tab/>
        <w:t xml:space="preserve">Adams, R.H.; Blackmon, H.; Reyes-Velasco, J.; Schield, D.R.; Card, D.C.; Andrew, A.; Castoe, T.A. Microsatellite landscape evolutionary dynamics across 450 million years of vertebrate genome evolution. </w:t>
      </w:r>
      <w:r w:rsidRPr="008D249A">
        <w:rPr>
          <w:i/>
          <w:noProof/>
        </w:rPr>
        <w:t xml:space="preserve">Genome </w:t>
      </w:r>
      <w:r w:rsidRPr="008D249A">
        <w:rPr>
          <w:b/>
          <w:noProof/>
        </w:rPr>
        <w:t>2016</w:t>
      </w:r>
      <w:r w:rsidRPr="008D249A">
        <w:rPr>
          <w:noProof/>
        </w:rPr>
        <w:t xml:space="preserve">, </w:t>
      </w:r>
      <w:r w:rsidRPr="008D249A">
        <w:rPr>
          <w:i/>
          <w:noProof/>
        </w:rPr>
        <w:t>59</w:t>
      </w:r>
      <w:r w:rsidRPr="008D249A">
        <w:rPr>
          <w:noProof/>
        </w:rPr>
        <w:t>, 295-310.</w:t>
      </w:r>
    </w:p>
    <w:p w:rsidR="008D249A" w:rsidRPr="008D249A" w:rsidRDefault="008D249A" w:rsidP="008D249A">
      <w:pPr>
        <w:pStyle w:val="EndNoteBibliography"/>
        <w:ind w:left="720" w:hanging="720"/>
        <w:rPr>
          <w:noProof/>
        </w:rPr>
      </w:pPr>
      <w:r w:rsidRPr="008D249A">
        <w:rPr>
          <w:noProof/>
        </w:rPr>
        <w:t>27.</w:t>
      </w:r>
      <w:r w:rsidRPr="008D249A">
        <w:rPr>
          <w:noProof/>
        </w:rPr>
        <w:tab/>
        <w:t xml:space="preserve">Simão, F.A.; Waterhouse, R.M.; Ioannidis, P.; Kriventseva, E.V.; Zdobnov, E.M. BUSCO: assessing genome assembly and annotation completeness with single-copy orthologs. </w:t>
      </w:r>
      <w:r w:rsidRPr="008D249A">
        <w:rPr>
          <w:i/>
          <w:noProof/>
        </w:rPr>
        <w:t xml:space="preserve">Bioinformatics </w:t>
      </w:r>
      <w:r w:rsidRPr="008D249A">
        <w:rPr>
          <w:b/>
          <w:noProof/>
        </w:rPr>
        <w:t>2015</w:t>
      </w:r>
      <w:r w:rsidRPr="008D249A">
        <w:rPr>
          <w:noProof/>
        </w:rPr>
        <w:t xml:space="preserve">, </w:t>
      </w:r>
      <w:r w:rsidRPr="008D249A">
        <w:rPr>
          <w:i/>
          <w:noProof/>
        </w:rPr>
        <w:t>31</w:t>
      </w:r>
      <w:r w:rsidRPr="008D249A">
        <w:rPr>
          <w:noProof/>
        </w:rPr>
        <w:t>, 3210-3212.</w:t>
      </w:r>
    </w:p>
    <w:p w:rsidR="008D249A" w:rsidRPr="008D249A" w:rsidRDefault="008D249A" w:rsidP="008D249A">
      <w:pPr>
        <w:pStyle w:val="EndNoteBibliography"/>
        <w:ind w:left="720" w:hanging="720"/>
        <w:rPr>
          <w:noProof/>
        </w:rPr>
      </w:pPr>
      <w:r w:rsidRPr="008D249A">
        <w:rPr>
          <w:noProof/>
        </w:rPr>
        <w:t>28.</w:t>
      </w:r>
      <w:r w:rsidRPr="008D249A">
        <w:rPr>
          <w:noProof/>
        </w:rPr>
        <w:tab/>
        <w:t xml:space="preserve">Katoh, K.; Rozewicki, J.; Yamada, K.D. MAFFT online service: multiple sequence alignment, interactive sequence choice and visualization. </w:t>
      </w:r>
      <w:r w:rsidRPr="008D249A">
        <w:rPr>
          <w:i/>
          <w:noProof/>
        </w:rPr>
        <w:t xml:space="preserve">Briefings in bioinformatics </w:t>
      </w:r>
      <w:r w:rsidRPr="008D249A">
        <w:rPr>
          <w:b/>
          <w:noProof/>
        </w:rPr>
        <w:t>2019</w:t>
      </w:r>
      <w:r w:rsidRPr="008D249A">
        <w:rPr>
          <w:noProof/>
        </w:rPr>
        <w:t xml:space="preserve">, </w:t>
      </w:r>
      <w:r w:rsidRPr="008D249A">
        <w:rPr>
          <w:i/>
          <w:noProof/>
        </w:rPr>
        <w:t>20</w:t>
      </w:r>
      <w:r w:rsidRPr="008D249A">
        <w:rPr>
          <w:noProof/>
        </w:rPr>
        <w:t>, 1160-1166.</w:t>
      </w:r>
    </w:p>
    <w:p w:rsidR="008D249A" w:rsidRPr="008D249A" w:rsidRDefault="008D249A" w:rsidP="008D249A">
      <w:pPr>
        <w:pStyle w:val="EndNoteBibliography"/>
        <w:ind w:left="720" w:hanging="720"/>
        <w:rPr>
          <w:noProof/>
        </w:rPr>
      </w:pPr>
      <w:r w:rsidRPr="008D249A">
        <w:rPr>
          <w:noProof/>
        </w:rPr>
        <w:t>29.</w:t>
      </w:r>
      <w:r w:rsidRPr="008D249A">
        <w:rPr>
          <w:noProof/>
        </w:rPr>
        <w:tab/>
        <w:t xml:space="preserve">Talavera, G.; Castresana, J. Improvement of phylogenies after removing divergent and ambiguously aligned blocks from protein sequence alignments. </w:t>
      </w:r>
      <w:r w:rsidRPr="008D249A">
        <w:rPr>
          <w:i/>
          <w:noProof/>
        </w:rPr>
        <w:t xml:space="preserve">Systematic biology </w:t>
      </w:r>
      <w:r w:rsidRPr="008D249A">
        <w:rPr>
          <w:b/>
          <w:noProof/>
        </w:rPr>
        <w:t>2007</w:t>
      </w:r>
      <w:r w:rsidRPr="008D249A">
        <w:rPr>
          <w:noProof/>
        </w:rPr>
        <w:t xml:space="preserve">, </w:t>
      </w:r>
      <w:r w:rsidRPr="008D249A">
        <w:rPr>
          <w:i/>
          <w:noProof/>
        </w:rPr>
        <w:t>56</w:t>
      </w:r>
      <w:r w:rsidRPr="008D249A">
        <w:rPr>
          <w:noProof/>
        </w:rPr>
        <w:t>, 564-577.</w:t>
      </w:r>
    </w:p>
    <w:p w:rsidR="008D249A" w:rsidRPr="008D249A" w:rsidRDefault="008D249A" w:rsidP="008D249A">
      <w:pPr>
        <w:pStyle w:val="EndNoteBibliography"/>
        <w:ind w:left="720" w:hanging="720"/>
        <w:rPr>
          <w:noProof/>
        </w:rPr>
      </w:pPr>
      <w:r w:rsidRPr="008D249A">
        <w:rPr>
          <w:noProof/>
        </w:rPr>
        <w:t>30.</w:t>
      </w:r>
      <w:r w:rsidRPr="008D249A">
        <w:rPr>
          <w:noProof/>
        </w:rPr>
        <w:tab/>
        <w:t xml:space="preserve">Tamura, K.; Peterson, D.; Peterson, N.; Stecher, G.; Nei, M.; Kumar, S. MEGA5: molecular evolutionary genetics analysis using maximum likelihood, evolutionary distance, and maximum parsimony methods. </w:t>
      </w:r>
      <w:r w:rsidRPr="008D249A">
        <w:rPr>
          <w:i/>
          <w:noProof/>
        </w:rPr>
        <w:t xml:space="preserve">Molecular biology and evolution </w:t>
      </w:r>
      <w:r w:rsidRPr="008D249A">
        <w:rPr>
          <w:b/>
          <w:noProof/>
        </w:rPr>
        <w:t>2011</w:t>
      </w:r>
      <w:r w:rsidRPr="008D249A">
        <w:rPr>
          <w:noProof/>
        </w:rPr>
        <w:t xml:space="preserve">, </w:t>
      </w:r>
      <w:r w:rsidRPr="008D249A">
        <w:rPr>
          <w:i/>
          <w:noProof/>
        </w:rPr>
        <w:t>28</w:t>
      </w:r>
      <w:r w:rsidRPr="008D249A">
        <w:rPr>
          <w:noProof/>
        </w:rPr>
        <w:t>, 2731-2739.</w:t>
      </w:r>
    </w:p>
    <w:p w:rsidR="008D249A" w:rsidRPr="008D249A" w:rsidRDefault="008D249A" w:rsidP="008D249A">
      <w:pPr>
        <w:pStyle w:val="EndNoteBibliography"/>
        <w:ind w:left="720" w:hanging="720"/>
        <w:rPr>
          <w:noProof/>
        </w:rPr>
      </w:pPr>
      <w:r w:rsidRPr="008D249A">
        <w:rPr>
          <w:noProof/>
        </w:rPr>
        <w:t>31.</w:t>
      </w:r>
      <w:r w:rsidRPr="008D249A">
        <w:rPr>
          <w:noProof/>
        </w:rPr>
        <w:tab/>
        <w:t xml:space="preserve">Thomson, R.C.; Shaffer, H.B. Sparse supermatrices for phylogenetic inference: taxonomy, alignment, rogue taxa, and the phylogeny of living turtles. </w:t>
      </w:r>
      <w:r w:rsidRPr="008D249A">
        <w:rPr>
          <w:i/>
          <w:noProof/>
        </w:rPr>
        <w:t xml:space="preserve">Systematic biology </w:t>
      </w:r>
      <w:r w:rsidRPr="008D249A">
        <w:rPr>
          <w:b/>
          <w:noProof/>
        </w:rPr>
        <w:t>2010</w:t>
      </w:r>
      <w:r w:rsidRPr="008D249A">
        <w:rPr>
          <w:noProof/>
        </w:rPr>
        <w:t xml:space="preserve">, </w:t>
      </w:r>
      <w:r w:rsidRPr="008D249A">
        <w:rPr>
          <w:i/>
          <w:noProof/>
        </w:rPr>
        <w:t>59</w:t>
      </w:r>
      <w:r w:rsidRPr="008D249A">
        <w:rPr>
          <w:noProof/>
        </w:rPr>
        <w:t>, 42-58.</w:t>
      </w:r>
    </w:p>
    <w:p w:rsidR="008D249A" w:rsidRPr="008D249A" w:rsidRDefault="008D249A" w:rsidP="008D249A">
      <w:pPr>
        <w:pStyle w:val="EndNoteBibliography"/>
        <w:ind w:left="720" w:hanging="720"/>
        <w:rPr>
          <w:noProof/>
        </w:rPr>
      </w:pPr>
      <w:r w:rsidRPr="008D249A">
        <w:rPr>
          <w:noProof/>
        </w:rPr>
        <w:t>32.</w:t>
      </w:r>
      <w:r w:rsidRPr="008D249A">
        <w:rPr>
          <w:noProof/>
        </w:rPr>
        <w:tab/>
        <w:t xml:space="preserve">Rabosky, D.L. No substitute for real data: a cautionary note on the use of phylogenies from birth–death polytomy resolvers for downstream comparative analyses. </w:t>
      </w:r>
      <w:r w:rsidRPr="008D249A">
        <w:rPr>
          <w:i/>
          <w:noProof/>
        </w:rPr>
        <w:t xml:space="preserve">Evolution </w:t>
      </w:r>
      <w:r w:rsidRPr="008D249A">
        <w:rPr>
          <w:b/>
          <w:noProof/>
        </w:rPr>
        <w:t>2015</w:t>
      </w:r>
      <w:r w:rsidRPr="008D249A">
        <w:rPr>
          <w:noProof/>
        </w:rPr>
        <w:t xml:space="preserve">, </w:t>
      </w:r>
      <w:r w:rsidRPr="008D249A">
        <w:rPr>
          <w:i/>
          <w:noProof/>
        </w:rPr>
        <w:t>69</w:t>
      </w:r>
      <w:r w:rsidRPr="008D249A">
        <w:rPr>
          <w:noProof/>
        </w:rPr>
        <w:t>, 3207-3216.</w:t>
      </w:r>
    </w:p>
    <w:p w:rsidR="008D249A" w:rsidRPr="008D249A" w:rsidRDefault="008D249A" w:rsidP="008D249A">
      <w:pPr>
        <w:pStyle w:val="EndNoteBibliography"/>
        <w:ind w:left="720" w:hanging="720"/>
        <w:rPr>
          <w:noProof/>
        </w:rPr>
      </w:pPr>
      <w:r w:rsidRPr="008D249A">
        <w:rPr>
          <w:noProof/>
        </w:rPr>
        <w:t>33.</w:t>
      </w:r>
      <w:r w:rsidRPr="008D249A">
        <w:rPr>
          <w:noProof/>
        </w:rPr>
        <w:tab/>
        <w:t>Miller, M.A.; Pfeiffer, W.; Schwartz, T. Creating the CIPRES Science Gateway for inference of large phylogenetic trees. In Proceedings of 2010 gateway computing environments workshop (GCE); pp. 1-8.</w:t>
      </w:r>
    </w:p>
    <w:p w:rsidR="008D249A" w:rsidRPr="008D249A" w:rsidRDefault="008D249A" w:rsidP="008D249A">
      <w:pPr>
        <w:pStyle w:val="EndNoteBibliography"/>
        <w:ind w:left="720" w:hanging="720"/>
        <w:rPr>
          <w:noProof/>
        </w:rPr>
      </w:pPr>
      <w:r w:rsidRPr="008D249A">
        <w:rPr>
          <w:noProof/>
        </w:rPr>
        <w:lastRenderedPageBreak/>
        <w:t>34.</w:t>
      </w:r>
      <w:r w:rsidRPr="008D249A">
        <w:rPr>
          <w:noProof/>
        </w:rPr>
        <w:tab/>
        <w:t xml:space="preserve">Stamatakis, A. RAxML version 8: a tool for phylogenetic analysis and post-analysis of large phylogenies. </w:t>
      </w:r>
      <w:r w:rsidRPr="008D249A">
        <w:rPr>
          <w:i/>
          <w:noProof/>
        </w:rPr>
        <w:t xml:space="preserve">Bioinformatics </w:t>
      </w:r>
      <w:r w:rsidRPr="008D249A">
        <w:rPr>
          <w:b/>
          <w:noProof/>
        </w:rPr>
        <w:t>2014</w:t>
      </w:r>
      <w:r w:rsidRPr="008D249A">
        <w:rPr>
          <w:noProof/>
        </w:rPr>
        <w:t xml:space="preserve">, </w:t>
      </w:r>
      <w:r w:rsidRPr="008D249A">
        <w:rPr>
          <w:i/>
          <w:noProof/>
        </w:rPr>
        <w:t>30</w:t>
      </w:r>
      <w:r w:rsidRPr="008D249A">
        <w:rPr>
          <w:noProof/>
        </w:rPr>
        <w:t>, 1312-1313.</w:t>
      </w:r>
    </w:p>
    <w:p w:rsidR="008D249A" w:rsidRPr="008D249A" w:rsidRDefault="008D249A" w:rsidP="008D249A">
      <w:pPr>
        <w:pStyle w:val="EndNoteBibliography"/>
        <w:ind w:left="720" w:hanging="720"/>
        <w:rPr>
          <w:noProof/>
        </w:rPr>
      </w:pPr>
      <w:r w:rsidRPr="008D249A">
        <w:rPr>
          <w:noProof/>
        </w:rPr>
        <w:t>35.</w:t>
      </w:r>
      <w:r w:rsidRPr="008D249A">
        <w:rPr>
          <w:noProof/>
        </w:rPr>
        <w:tab/>
        <w:t xml:space="preserve">Maddison, W.; Maddison, D. Mesquite: a modular system for evolutionary analysis. 2011. </w:t>
      </w:r>
      <w:r w:rsidRPr="008D249A">
        <w:rPr>
          <w:i/>
          <w:noProof/>
        </w:rPr>
        <w:t xml:space="preserve">See </w:t>
      </w:r>
      <w:hyperlink r:id="rId14" w:history="1">
        <w:r w:rsidRPr="008D249A">
          <w:rPr>
            <w:rStyle w:val="Hyperlink"/>
            <w:i/>
            <w:noProof/>
          </w:rPr>
          <w:t>http://mesquiteproject</w:t>
        </w:r>
      </w:hyperlink>
      <w:r w:rsidRPr="008D249A">
        <w:rPr>
          <w:i/>
          <w:noProof/>
        </w:rPr>
        <w:t xml:space="preserve">. org </w:t>
      </w:r>
      <w:r w:rsidRPr="008D249A">
        <w:rPr>
          <w:b/>
          <w:noProof/>
        </w:rPr>
        <w:t>2007</w:t>
      </w:r>
      <w:r w:rsidRPr="008D249A">
        <w:rPr>
          <w:noProof/>
        </w:rPr>
        <w:t>.</w:t>
      </w:r>
    </w:p>
    <w:p w:rsidR="008D249A" w:rsidRPr="008D249A" w:rsidRDefault="008D249A" w:rsidP="008D249A">
      <w:pPr>
        <w:pStyle w:val="EndNoteBibliography"/>
        <w:ind w:left="720" w:hanging="720"/>
        <w:rPr>
          <w:noProof/>
        </w:rPr>
      </w:pPr>
      <w:r w:rsidRPr="008D249A">
        <w:rPr>
          <w:noProof/>
        </w:rPr>
        <w:t>36.</w:t>
      </w:r>
      <w:r w:rsidRPr="008D249A">
        <w:rPr>
          <w:noProof/>
        </w:rPr>
        <w:tab/>
        <w:t xml:space="preserve">Drummond, A.J.; Rambaut, A. BEAST: Bayesian evolutionary analysis by sampling trees. </w:t>
      </w:r>
      <w:r w:rsidRPr="008D249A">
        <w:rPr>
          <w:i/>
          <w:noProof/>
        </w:rPr>
        <w:t xml:space="preserve">BMC evolutionary biology </w:t>
      </w:r>
      <w:r w:rsidRPr="008D249A">
        <w:rPr>
          <w:b/>
          <w:noProof/>
        </w:rPr>
        <w:t>2007</w:t>
      </w:r>
      <w:r w:rsidRPr="008D249A">
        <w:rPr>
          <w:noProof/>
        </w:rPr>
        <w:t xml:space="preserve">, </w:t>
      </w:r>
      <w:r w:rsidRPr="008D249A">
        <w:rPr>
          <w:i/>
          <w:noProof/>
        </w:rPr>
        <w:t>7</w:t>
      </w:r>
      <w:r w:rsidRPr="008D249A">
        <w:rPr>
          <w:noProof/>
        </w:rPr>
        <w:t>, 214.</w:t>
      </w:r>
    </w:p>
    <w:p w:rsidR="008D249A" w:rsidRPr="008D249A" w:rsidRDefault="008D249A" w:rsidP="008D249A">
      <w:pPr>
        <w:pStyle w:val="EndNoteBibliography"/>
        <w:ind w:left="720" w:hanging="720"/>
        <w:rPr>
          <w:noProof/>
        </w:rPr>
      </w:pPr>
      <w:r w:rsidRPr="008D249A">
        <w:rPr>
          <w:noProof/>
        </w:rPr>
        <w:t>37.</w:t>
      </w:r>
      <w:r w:rsidRPr="008D249A">
        <w:rPr>
          <w:noProof/>
        </w:rPr>
        <w:tab/>
        <w:t xml:space="preserve">Paradis, E.; Claude, J.; Strimmer, K. APE: analyses of phylogenetics and evolution in R language. </w:t>
      </w:r>
      <w:r w:rsidRPr="008D249A">
        <w:rPr>
          <w:i/>
          <w:noProof/>
        </w:rPr>
        <w:t xml:space="preserve">Bioinformatics </w:t>
      </w:r>
      <w:r w:rsidRPr="008D249A">
        <w:rPr>
          <w:b/>
          <w:noProof/>
        </w:rPr>
        <w:t>2004</w:t>
      </w:r>
      <w:r w:rsidRPr="008D249A">
        <w:rPr>
          <w:noProof/>
        </w:rPr>
        <w:t xml:space="preserve">, </w:t>
      </w:r>
      <w:r w:rsidRPr="008D249A">
        <w:rPr>
          <w:i/>
          <w:noProof/>
        </w:rPr>
        <w:t>20</w:t>
      </w:r>
      <w:r w:rsidRPr="008D249A">
        <w:rPr>
          <w:noProof/>
        </w:rPr>
        <w:t>, 289-290.</w:t>
      </w:r>
    </w:p>
    <w:p w:rsidR="008D249A" w:rsidRPr="008D249A" w:rsidRDefault="008D249A" w:rsidP="008D249A">
      <w:pPr>
        <w:pStyle w:val="EndNoteBibliography"/>
        <w:ind w:left="720" w:hanging="720"/>
        <w:rPr>
          <w:noProof/>
        </w:rPr>
      </w:pPr>
      <w:r w:rsidRPr="008D249A">
        <w:rPr>
          <w:noProof/>
        </w:rPr>
        <w:t>38.</w:t>
      </w:r>
      <w:r w:rsidRPr="008D249A">
        <w:rPr>
          <w:noProof/>
        </w:rPr>
        <w:tab/>
        <w:t xml:space="preserve">Misof, B.; Liu, S.; Meusemann, K.; Peters, R.S.; Donath, A.; Mayer, C.; Frandsen, P.B.; Ware, J.; Flouri, T.; Beutel, R.G. Phylogenomics resolves the timing and pattern of insect evolution. </w:t>
      </w:r>
      <w:r w:rsidRPr="008D249A">
        <w:rPr>
          <w:i/>
          <w:noProof/>
        </w:rPr>
        <w:t xml:space="preserve">Science </w:t>
      </w:r>
      <w:r w:rsidRPr="008D249A">
        <w:rPr>
          <w:b/>
          <w:noProof/>
        </w:rPr>
        <w:t>2014</w:t>
      </w:r>
      <w:r w:rsidRPr="008D249A">
        <w:rPr>
          <w:noProof/>
        </w:rPr>
        <w:t xml:space="preserve">, </w:t>
      </w:r>
      <w:r w:rsidRPr="008D249A">
        <w:rPr>
          <w:i/>
          <w:noProof/>
        </w:rPr>
        <w:t>346</w:t>
      </w:r>
      <w:r w:rsidRPr="008D249A">
        <w:rPr>
          <w:noProof/>
        </w:rPr>
        <w:t>, 763-767.</w:t>
      </w:r>
    </w:p>
    <w:p w:rsidR="008D249A" w:rsidRPr="008D249A" w:rsidRDefault="008D249A" w:rsidP="008D249A">
      <w:pPr>
        <w:pStyle w:val="EndNoteBibliography"/>
        <w:ind w:left="720" w:hanging="720"/>
        <w:rPr>
          <w:noProof/>
        </w:rPr>
      </w:pPr>
      <w:r w:rsidRPr="008D249A">
        <w:rPr>
          <w:noProof/>
        </w:rPr>
        <w:t>39.</w:t>
      </w:r>
      <w:r w:rsidRPr="008D249A">
        <w:rPr>
          <w:noProof/>
        </w:rPr>
        <w:tab/>
        <w:t xml:space="preserve">Lo, J.; Jonika, M.M.; Blackmon, H. micRocounter: Microsatellite Characterization in Genome Assemblies. </w:t>
      </w:r>
      <w:r w:rsidRPr="008D249A">
        <w:rPr>
          <w:i/>
          <w:noProof/>
        </w:rPr>
        <w:t xml:space="preserve">G3: Genes, Genomes, Genetics </w:t>
      </w:r>
      <w:r w:rsidRPr="008D249A">
        <w:rPr>
          <w:b/>
          <w:noProof/>
        </w:rPr>
        <w:t>2019</w:t>
      </w:r>
      <w:r w:rsidRPr="008D249A">
        <w:rPr>
          <w:noProof/>
        </w:rPr>
        <w:t xml:space="preserve">, </w:t>
      </w:r>
      <w:r w:rsidRPr="008D249A">
        <w:rPr>
          <w:i/>
          <w:noProof/>
        </w:rPr>
        <w:t>9</w:t>
      </w:r>
      <w:r w:rsidRPr="008D249A">
        <w:rPr>
          <w:noProof/>
        </w:rPr>
        <w:t>, 3101-3104.</w:t>
      </w:r>
    </w:p>
    <w:p w:rsidR="008D249A" w:rsidRPr="008D249A" w:rsidRDefault="008D249A" w:rsidP="008D249A">
      <w:pPr>
        <w:pStyle w:val="EndNoteBibliography"/>
        <w:ind w:left="720" w:hanging="720"/>
        <w:rPr>
          <w:noProof/>
        </w:rPr>
      </w:pPr>
      <w:r w:rsidRPr="008D249A">
        <w:rPr>
          <w:noProof/>
        </w:rPr>
        <w:t>40.</w:t>
      </w:r>
      <w:r w:rsidRPr="008D249A">
        <w:rPr>
          <w:noProof/>
        </w:rPr>
        <w:tab/>
        <w:t xml:space="preserve">Blackmon, H.; Ross, L.; Bachtrog, D. Sex Determination, Sex Chromosomes, and Karyotype Evolution in Insects. </w:t>
      </w:r>
      <w:r w:rsidRPr="008D249A">
        <w:rPr>
          <w:i/>
          <w:noProof/>
        </w:rPr>
        <w:t xml:space="preserve">J Hered </w:t>
      </w:r>
      <w:r w:rsidRPr="008D249A">
        <w:rPr>
          <w:b/>
          <w:noProof/>
        </w:rPr>
        <w:t>2017</w:t>
      </w:r>
      <w:r w:rsidRPr="008D249A">
        <w:rPr>
          <w:noProof/>
        </w:rPr>
        <w:t xml:space="preserve">, </w:t>
      </w:r>
      <w:r w:rsidRPr="008D249A">
        <w:rPr>
          <w:i/>
          <w:noProof/>
        </w:rPr>
        <w:t>108</w:t>
      </w:r>
      <w:r w:rsidRPr="008D249A">
        <w:rPr>
          <w:noProof/>
        </w:rPr>
        <w:t>, 78-93, doi:10.1093/jhered/esw047.</w:t>
      </w:r>
    </w:p>
    <w:p w:rsidR="008D249A" w:rsidRPr="008D249A" w:rsidRDefault="008D249A" w:rsidP="008D249A">
      <w:pPr>
        <w:pStyle w:val="EndNoteBibliography"/>
        <w:ind w:left="720" w:hanging="720"/>
        <w:rPr>
          <w:noProof/>
        </w:rPr>
      </w:pPr>
      <w:r w:rsidRPr="008D249A">
        <w:rPr>
          <w:noProof/>
        </w:rPr>
        <w:t>41.</w:t>
      </w:r>
      <w:r w:rsidRPr="008D249A">
        <w:rPr>
          <w:noProof/>
        </w:rPr>
        <w:tab/>
        <w:t xml:space="preserve">Tree of Sex, C. Tree of Sex: A database of sexual systems. </w:t>
      </w:r>
      <w:r w:rsidRPr="008D249A">
        <w:rPr>
          <w:i/>
          <w:noProof/>
        </w:rPr>
        <w:t xml:space="preserve">Scientific Data </w:t>
      </w:r>
      <w:r w:rsidRPr="008D249A">
        <w:rPr>
          <w:b/>
          <w:noProof/>
        </w:rPr>
        <w:t>2014</w:t>
      </w:r>
      <w:r w:rsidRPr="008D249A">
        <w:rPr>
          <w:noProof/>
        </w:rPr>
        <w:t>, papers2://publication/uuid/64802FD2-483B-423D-A5D6-565EA6457FA2, doi:papers2://publication/uuid/64802FD2-483B-423D-A5D6-565EA6457FA2.</w:t>
      </w:r>
    </w:p>
    <w:p w:rsidR="008D249A" w:rsidRPr="008D249A" w:rsidRDefault="008D249A" w:rsidP="008D249A">
      <w:pPr>
        <w:pStyle w:val="EndNoteBibliography"/>
        <w:ind w:left="720" w:hanging="720"/>
        <w:rPr>
          <w:noProof/>
        </w:rPr>
      </w:pPr>
      <w:r w:rsidRPr="008D249A">
        <w:rPr>
          <w:noProof/>
        </w:rPr>
        <w:t>42.</w:t>
      </w:r>
      <w:r w:rsidRPr="008D249A">
        <w:rPr>
          <w:noProof/>
        </w:rPr>
        <w:tab/>
        <w:t xml:space="preserve">Gregory, T.R. Animal Genome Size Database. 2020. </w:t>
      </w:r>
      <w:r w:rsidRPr="008D249A">
        <w:rPr>
          <w:i/>
          <w:noProof/>
        </w:rPr>
        <w:t xml:space="preserve">See </w:t>
      </w:r>
      <w:hyperlink r:id="rId15" w:history="1">
        <w:r w:rsidRPr="008D249A">
          <w:rPr>
            <w:rStyle w:val="Hyperlink"/>
            <w:i/>
            <w:noProof/>
          </w:rPr>
          <w:t>http://www</w:t>
        </w:r>
      </w:hyperlink>
      <w:r w:rsidRPr="008D249A">
        <w:rPr>
          <w:i/>
          <w:noProof/>
        </w:rPr>
        <w:t xml:space="preserve">. genomesize. com </w:t>
      </w:r>
      <w:r w:rsidRPr="008D249A">
        <w:rPr>
          <w:b/>
          <w:noProof/>
        </w:rPr>
        <w:t>2020</w:t>
      </w:r>
      <w:r w:rsidRPr="008D249A">
        <w:rPr>
          <w:noProof/>
        </w:rPr>
        <w:t>.</w:t>
      </w:r>
    </w:p>
    <w:p w:rsidR="008D249A" w:rsidRPr="008D249A" w:rsidRDefault="008D249A" w:rsidP="008D249A">
      <w:pPr>
        <w:pStyle w:val="EndNoteBibliography"/>
        <w:ind w:left="720" w:hanging="720"/>
        <w:rPr>
          <w:noProof/>
        </w:rPr>
      </w:pPr>
      <w:r w:rsidRPr="008D249A">
        <w:rPr>
          <w:noProof/>
        </w:rPr>
        <w:t>43.</w:t>
      </w:r>
      <w:r w:rsidRPr="008D249A">
        <w:rPr>
          <w:noProof/>
        </w:rPr>
        <w:tab/>
        <w:t xml:space="preserve">Harmon, L.J.; Weir, J.T.; Brock, C.D.; Glor, R.E.; Challenger, W. GEIGER: investigating evolutionary radiations. </w:t>
      </w:r>
      <w:r w:rsidRPr="008D249A">
        <w:rPr>
          <w:i/>
          <w:noProof/>
        </w:rPr>
        <w:t xml:space="preserve">Bioinformatics </w:t>
      </w:r>
      <w:r w:rsidRPr="008D249A">
        <w:rPr>
          <w:b/>
          <w:noProof/>
        </w:rPr>
        <w:t>2008</w:t>
      </w:r>
      <w:r w:rsidRPr="008D249A">
        <w:rPr>
          <w:noProof/>
        </w:rPr>
        <w:t xml:space="preserve">, </w:t>
      </w:r>
      <w:r w:rsidRPr="008D249A">
        <w:rPr>
          <w:i/>
          <w:noProof/>
        </w:rPr>
        <w:t>24</w:t>
      </w:r>
      <w:r w:rsidRPr="008D249A">
        <w:rPr>
          <w:noProof/>
        </w:rPr>
        <w:t>, 129-131.</w:t>
      </w:r>
    </w:p>
    <w:p w:rsidR="008D249A" w:rsidRPr="008D249A" w:rsidRDefault="008D249A" w:rsidP="008D249A">
      <w:pPr>
        <w:pStyle w:val="EndNoteBibliography"/>
        <w:ind w:left="720" w:hanging="720"/>
        <w:rPr>
          <w:noProof/>
        </w:rPr>
      </w:pPr>
      <w:r w:rsidRPr="008D249A">
        <w:rPr>
          <w:noProof/>
        </w:rPr>
        <w:t>44.</w:t>
      </w:r>
      <w:r w:rsidRPr="008D249A">
        <w:rPr>
          <w:noProof/>
        </w:rPr>
        <w:tab/>
        <w:t xml:space="preserve">Revell, L.J. phytools: an R package for phylogenetic comparative biology (and other things). </w:t>
      </w:r>
      <w:r w:rsidRPr="008D249A">
        <w:rPr>
          <w:i/>
          <w:noProof/>
        </w:rPr>
        <w:t xml:space="preserve">Methods in ecology and evolution </w:t>
      </w:r>
      <w:r w:rsidRPr="008D249A">
        <w:rPr>
          <w:b/>
          <w:noProof/>
        </w:rPr>
        <w:t>2012</w:t>
      </w:r>
      <w:r w:rsidRPr="008D249A">
        <w:rPr>
          <w:noProof/>
        </w:rPr>
        <w:t xml:space="preserve">, </w:t>
      </w:r>
      <w:r w:rsidRPr="008D249A">
        <w:rPr>
          <w:i/>
          <w:noProof/>
        </w:rPr>
        <w:t>3</w:t>
      </w:r>
      <w:r w:rsidRPr="008D249A">
        <w:rPr>
          <w:noProof/>
        </w:rPr>
        <w:t>, 217-223.</w:t>
      </w:r>
    </w:p>
    <w:p w:rsidR="008D249A" w:rsidRPr="008D249A" w:rsidRDefault="008D249A" w:rsidP="008D249A">
      <w:pPr>
        <w:pStyle w:val="EndNoteBibliography"/>
        <w:ind w:left="720" w:hanging="720"/>
        <w:rPr>
          <w:noProof/>
        </w:rPr>
      </w:pPr>
      <w:r w:rsidRPr="008D249A">
        <w:rPr>
          <w:noProof/>
        </w:rPr>
        <w:t>45.</w:t>
      </w:r>
      <w:r w:rsidRPr="008D249A">
        <w:rPr>
          <w:noProof/>
        </w:rPr>
        <w:tab/>
        <w:t>Ho, L.S.T.; Ane, C.; Lachlan, R.; Tarpinian, K.; Feldman, R.; Yu, Q.; van der Bijl, W.; Ho, M.L.S.T. Package ‘phylolm’. 2018.</w:t>
      </w:r>
    </w:p>
    <w:p w:rsidR="008D249A" w:rsidRPr="008D249A" w:rsidRDefault="008D249A" w:rsidP="008D249A">
      <w:pPr>
        <w:pStyle w:val="EndNoteBibliography"/>
        <w:ind w:left="720" w:hanging="720"/>
        <w:rPr>
          <w:noProof/>
        </w:rPr>
      </w:pPr>
      <w:r w:rsidRPr="008D249A">
        <w:rPr>
          <w:noProof/>
        </w:rPr>
        <w:t>46.</w:t>
      </w:r>
      <w:r w:rsidRPr="008D249A">
        <w:rPr>
          <w:noProof/>
        </w:rPr>
        <w:tab/>
        <w:t xml:space="preserve">R Core Team </w:t>
      </w:r>
      <w:r w:rsidRPr="008D249A">
        <w:rPr>
          <w:i/>
          <w:noProof/>
        </w:rPr>
        <w:t>R: A Language and Environment for Statistical Computing</w:t>
      </w:r>
      <w:r w:rsidRPr="008D249A">
        <w:rPr>
          <w:noProof/>
        </w:rPr>
        <w:t>, R Foundation for Statistical Computing Vienna, Austria, 2019.</w:t>
      </w:r>
    </w:p>
    <w:p w:rsidR="008D249A" w:rsidRPr="008D249A" w:rsidRDefault="008D249A" w:rsidP="008D249A">
      <w:pPr>
        <w:pStyle w:val="EndNoteBibliography"/>
        <w:ind w:left="720" w:hanging="720"/>
        <w:rPr>
          <w:noProof/>
        </w:rPr>
      </w:pPr>
      <w:r w:rsidRPr="008D249A">
        <w:rPr>
          <w:noProof/>
        </w:rPr>
        <w:t>47.</w:t>
      </w:r>
      <w:r w:rsidRPr="008D249A">
        <w:rPr>
          <w:noProof/>
        </w:rPr>
        <w:tab/>
        <w:t xml:space="preserve">Rambaut, A.; Drummond, A.J.; Xie, D.; Baele, G.; Suchard, M.A. Posterior Summarization in Bayesian Phylogenetics Using Tracer 1.7. </w:t>
      </w:r>
      <w:r w:rsidRPr="008D249A">
        <w:rPr>
          <w:i/>
          <w:noProof/>
        </w:rPr>
        <w:t xml:space="preserve">Systematic Biology </w:t>
      </w:r>
      <w:r w:rsidRPr="008D249A">
        <w:rPr>
          <w:b/>
          <w:noProof/>
        </w:rPr>
        <w:t>2018</w:t>
      </w:r>
      <w:r w:rsidRPr="008D249A">
        <w:rPr>
          <w:noProof/>
        </w:rPr>
        <w:t xml:space="preserve">, </w:t>
      </w:r>
      <w:r w:rsidRPr="008D249A">
        <w:rPr>
          <w:i/>
          <w:noProof/>
        </w:rPr>
        <w:t>67</w:t>
      </w:r>
      <w:r w:rsidRPr="008D249A">
        <w:rPr>
          <w:noProof/>
        </w:rPr>
        <w:t>, 901-904, doi:10.1093/sysbio/syy032.</w:t>
      </w:r>
    </w:p>
    <w:p w:rsidR="008D249A" w:rsidRPr="008D249A" w:rsidRDefault="008D249A" w:rsidP="008D249A">
      <w:pPr>
        <w:pStyle w:val="EndNoteBibliography"/>
        <w:ind w:left="720" w:hanging="720"/>
        <w:rPr>
          <w:noProof/>
        </w:rPr>
      </w:pPr>
      <w:r w:rsidRPr="008D249A">
        <w:rPr>
          <w:noProof/>
        </w:rPr>
        <w:t>48.</w:t>
      </w:r>
      <w:r w:rsidRPr="008D249A">
        <w:rPr>
          <w:noProof/>
        </w:rPr>
        <w:tab/>
        <w:t xml:space="preserve">Stephan, W. Recombination and the evolution of satellite DNA. </w:t>
      </w:r>
      <w:r w:rsidRPr="008D249A">
        <w:rPr>
          <w:i/>
          <w:noProof/>
        </w:rPr>
        <w:t xml:space="preserve">Genetics Research </w:t>
      </w:r>
      <w:r w:rsidRPr="008D249A">
        <w:rPr>
          <w:b/>
          <w:noProof/>
        </w:rPr>
        <w:t>1986</w:t>
      </w:r>
      <w:r w:rsidRPr="008D249A">
        <w:rPr>
          <w:noProof/>
        </w:rPr>
        <w:t xml:space="preserve">, </w:t>
      </w:r>
      <w:r w:rsidRPr="008D249A">
        <w:rPr>
          <w:i/>
          <w:noProof/>
        </w:rPr>
        <w:t>47</w:t>
      </w:r>
      <w:r w:rsidRPr="008D249A">
        <w:rPr>
          <w:noProof/>
        </w:rPr>
        <w:t>, 167-174.</w:t>
      </w:r>
    </w:p>
    <w:p w:rsidR="008D249A" w:rsidRPr="008D249A" w:rsidRDefault="008D249A" w:rsidP="008D249A">
      <w:pPr>
        <w:pStyle w:val="EndNoteBibliography"/>
        <w:ind w:left="720" w:hanging="720"/>
        <w:rPr>
          <w:noProof/>
        </w:rPr>
      </w:pPr>
      <w:r w:rsidRPr="008D249A">
        <w:rPr>
          <w:noProof/>
        </w:rPr>
        <w:t>49.</w:t>
      </w:r>
      <w:r w:rsidRPr="008D249A">
        <w:rPr>
          <w:noProof/>
        </w:rPr>
        <w:tab/>
        <w:t xml:space="preserve">Melters, D.P.; Paliulis, L.V.; Korf, I.F.; Chan, S.W. Holocentric chromosomes: convergent evolution, meiotic adaptations, and genomic analysis. </w:t>
      </w:r>
      <w:r w:rsidRPr="008D249A">
        <w:rPr>
          <w:i/>
          <w:noProof/>
        </w:rPr>
        <w:t xml:space="preserve">Chromosome Research </w:t>
      </w:r>
      <w:r w:rsidRPr="008D249A">
        <w:rPr>
          <w:b/>
          <w:noProof/>
        </w:rPr>
        <w:t>2012</w:t>
      </w:r>
      <w:r w:rsidRPr="008D249A">
        <w:rPr>
          <w:noProof/>
        </w:rPr>
        <w:t xml:space="preserve">, </w:t>
      </w:r>
      <w:r w:rsidRPr="008D249A">
        <w:rPr>
          <w:i/>
          <w:noProof/>
        </w:rPr>
        <w:t>20</w:t>
      </w:r>
      <w:r w:rsidRPr="008D249A">
        <w:rPr>
          <w:noProof/>
        </w:rPr>
        <w:t>, 579-593.</w:t>
      </w:r>
    </w:p>
    <w:p w:rsidR="008D249A" w:rsidRPr="008D249A" w:rsidRDefault="008D249A" w:rsidP="008D249A">
      <w:pPr>
        <w:pStyle w:val="EndNoteBibliography"/>
        <w:ind w:left="720" w:hanging="720"/>
        <w:rPr>
          <w:noProof/>
        </w:rPr>
      </w:pPr>
      <w:r w:rsidRPr="008D249A">
        <w:rPr>
          <w:noProof/>
        </w:rPr>
        <w:t>50.</w:t>
      </w:r>
      <w:r w:rsidRPr="008D249A">
        <w:rPr>
          <w:noProof/>
        </w:rPr>
        <w:tab/>
        <w:t xml:space="preserve">Nokkala, S.; Kuznetsova, V.; Maryanska-Nadachowska, A.; Nokkala, C. Holocentric chromosomes in meiosis. I. Restriction of the number of chiasmata in bivalents. </w:t>
      </w:r>
      <w:r w:rsidRPr="008D249A">
        <w:rPr>
          <w:i/>
          <w:noProof/>
        </w:rPr>
        <w:t xml:space="preserve">Chromosome Research </w:t>
      </w:r>
      <w:r w:rsidRPr="008D249A">
        <w:rPr>
          <w:b/>
          <w:noProof/>
        </w:rPr>
        <w:t>2004</w:t>
      </w:r>
      <w:r w:rsidRPr="008D249A">
        <w:rPr>
          <w:noProof/>
        </w:rPr>
        <w:t xml:space="preserve">, </w:t>
      </w:r>
      <w:r w:rsidRPr="008D249A">
        <w:rPr>
          <w:i/>
          <w:noProof/>
        </w:rPr>
        <w:t>12</w:t>
      </w:r>
      <w:r w:rsidRPr="008D249A">
        <w:rPr>
          <w:noProof/>
        </w:rPr>
        <w:t>, 733-739.</w:t>
      </w:r>
    </w:p>
    <w:p w:rsidR="008D249A" w:rsidRPr="008D249A" w:rsidRDefault="008D249A" w:rsidP="008D249A">
      <w:pPr>
        <w:pStyle w:val="EndNoteBibliography"/>
        <w:ind w:left="720" w:hanging="720"/>
        <w:rPr>
          <w:noProof/>
        </w:rPr>
      </w:pPr>
      <w:r w:rsidRPr="008D249A">
        <w:rPr>
          <w:noProof/>
        </w:rPr>
        <w:t>51.</w:t>
      </w:r>
      <w:r w:rsidRPr="008D249A">
        <w:rPr>
          <w:noProof/>
        </w:rPr>
        <w:tab/>
        <w:t xml:space="preserve">Cuacos, M.; Franklin, H.; Chris, F.; Heckmann, S. Atypical centromeres in plants—what they can tell us. </w:t>
      </w:r>
      <w:r w:rsidRPr="008D249A">
        <w:rPr>
          <w:i/>
          <w:noProof/>
        </w:rPr>
        <w:t xml:space="preserve">Frontiers in plant science </w:t>
      </w:r>
      <w:r w:rsidRPr="008D249A">
        <w:rPr>
          <w:b/>
          <w:noProof/>
        </w:rPr>
        <w:t>2015</w:t>
      </w:r>
      <w:r w:rsidRPr="008D249A">
        <w:rPr>
          <w:noProof/>
        </w:rPr>
        <w:t xml:space="preserve">, </w:t>
      </w:r>
      <w:r w:rsidRPr="008D249A">
        <w:rPr>
          <w:i/>
          <w:noProof/>
        </w:rPr>
        <w:t>6</w:t>
      </w:r>
      <w:r w:rsidRPr="008D249A">
        <w:rPr>
          <w:noProof/>
        </w:rPr>
        <w:t>, 913.</w:t>
      </w:r>
    </w:p>
    <w:p w:rsidR="008D249A" w:rsidRPr="008D249A" w:rsidRDefault="008D249A" w:rsidP="008D249A">
      <w:pPr>
        <w:pStyle w:val="EndNoteBibliography"/>
        <w:ind w:left="720" w:hanging="720"/>
        <w:rPr>
          <w:noProof/>
        </w:rPr>
      </w:pPr>
      <w:r w:rsidRPr="008D249A">
        <w:rPr>
          <w:noProof/>
        </w:rPr>
        <w:t>52.</w:t>
      </w:r>
      <w:r w:rsidRPr="008D249A">
        <w:rPr>
          <w:noProof/>
        </w:rPr>
        <w:tab/>
        <w:t xml:space="preserve">Mandrioli, M.; Carlo Manicardi, G. Unlocking holocentric chromosomes: new perspectives from comparative and functional genomics? </w:t>
      </w:r>
      <w:r w:rsidRPr="008D249A">
        <w:rPr>
          <w:i/>
          <w:noProof/>
        </w:rPr>
        <w:t xml:space="preserve">Current genomics </w:t>
      </w:r>
      <w:r w:rsidRPr="008D249A">
        <w:rPr>
          <w:b/>
          <w:noProof/>
        </w:rPr>
        <w:t>2012</w:t>
      </w:r>
      <w:r w:rsidRPr="008D249A">
        <w:rPr>
          <w:noProof/>
        </w:rPr>
        <w:t xml:space="preserve">, </w:t>
      </w:r>
      <w:r w:rsidRPr="008D249A">
        <w:rPr>
          <w:i/>
          <w:noProof/>
        </w:rPr>
        <w:t>13</w:t>
      </w:r>
      <w:r w:rsidRPr="008D249A">
        <w:rPr>
          <w:noProof/>
        </w:rPr>
        <w:t>, 343-349.</w:t>
      </w:r>
    </w:p>
    <w:p w:rsidR="008D249A" w:rsidRPr="008D249A" w:rsidRDefault="008D249A" w:rsidP="008D249A">
      <w:pPr>
        <w:pStyle w:val="EndNoteBibliography"/>
        <w:ind w:left="720" w:hanging="720"/>
        <w:rPr>
          <w:rFonts w:hint="eastAsia"/>
          <w:noProof/>
        </w:rPr>
      </w:pPr>
      <w:r w:rsidRPr="008D249A">
        <w:rPr>
          <w:noProof/>
        </w:rPr>
        <w:t>53.</w:t>
      </w:r>
      <w:r w:rsidRPr="008D249A">
        <w:rPr>
          <w:noProof/>
        </w:rPr>
        <w:tab/>
        <w:t>Heckmann, S.; Macas, J.; Kumke, K.; Fuchs, J.; Schubert, V.; Ma, L.; Novak, P.; Neumann, P.; Taudien, S.; Pla</w:t>
      </w:r>
      <w:r w:rsidRPr="008D249A">
        <w:rPr>
          <w:rFonts w:hint="eastAsia"/>
          <w:noProof/>
        </w:rPr>
        <w:t xml:space="preserve">tzer, M. The holocentric species L uzula elegans shows interplay between centromere and large‐scale genome organization. </w:t>
      </w:r>
      <w:r w:rsidRPr="008D249A">
        <w:rPr>
          <w:rFonts w:hint="eastAsia"/>
          <w:i/>
          <w:noProof/>
        </w:rPr>
        <w:t xml:space="preserve">The Plant Journal </w:t>
      </w:r>
      <w:r w:rsidRPr="008D249A">
        <w:rPr>
          <w:rFonts w:hint="eastAsia"/>
          <w:b/>
          <w:noProof/>
        </w:rPr>
        <w:t>2013</w:t>
      </w:r>
      <w:r w:rsidRPr="008D249A">
        <w:rPr>
          <w:rFonts w:hint="eastAsia"/>
          <w:noProof/>
        </w:rPr>
        <w:t xml:space="preserve">, </w:t>
      </w:r>
      <w:r w:rsidRPr="008D249A">
        <w:rPr>
          <w:rFonts w:hint="eastAsia"/>
          <w:i/>
          <w:noProof/>
        </w:rPr>
        <w:t>73</w:t>
      </w:r>
      <w:r w:rsidRPr="008D249A">
        <w:rPr>
          <w:rFonts w:hint="eastAsia"/>
          <w:noProof/>
        </w:rPr>
        <w:t>, 555-565.</w:t>
      </w:r>
    </w:p>
    <w:p w:rsidR="008D249A" w:rsidRPr="008D249A" w:rsidRDefault="008D249A" w:rsidP="008D249A">
      <w:pPr>
        <w:pStyle w:val="EndNoteBibliography"/>
        <w:ind w:left="720" w:hanging="720"/>
        <w:rPr>
          <w:noProof/>
        </w:rPr>
      </w:pPr>
      <w:r w:rsidRPr="008D249A">
        <w:rPr>
          <w:noProof/>
        </w:rPr>
        <w:t>54.</w:t>
      </w:r>
      <w:r w:rsidRPr="008D249A">
        <w:rPr>
          <w:noProof/>
        </w:rPr>
        <w:tab/>
        <w:t xml:space="preserve">Subirana, J.A.; Messeguer, X. A satellite explosion in the genome of holocentric nematodes. </w:t>
      </w:r>
      <w:r w:rsidRPr="008D249A">
        <w:rPr>
          <w:i/>
          <w:noProof/>
        </w:rPr>
        <w:t xml:space="preserve">PLoS One </w:t>
      </w:r>
      <w:r w:rsidRPr="008D249A">
        <w:rPr>
          <w:b/>
          <w:noProof/>
        </w:rPr>
        <w:t>2013</w:t>
      </w:r>
      <w:r w:rsidRPr="008D249A">
        <w:rPr>
          <w:noProof/>
        </w:rPr>
        <w:t xml:space="preserve">, </w:t>
      </w:r>
      <w:r w:rsidRPr="008D249A">
        <w:rPr>
          <w:i/>
          <w:noProof/>
        </w:rPr>
        <w:t>8</w:t>
      </w:r>
      <w:r w:rsidRPr="008D249A">
        <w:rPr>
          <w:noProof/>
        </w:rPr>
        <w:t>.</w:t>
      </w:r>
    </w:p>
    <w:p w:rsidR="008D249A" w:rsidRPr="008D249A" w:rsidRDefault="008D249A" w:rsidP="008D249A">
      <w:pPr>
        <w:pStyle w:val="EndNoteBibliography"/>
        <w:ind w:left="720" w:hanging="720"/>
        <w:rPr>
          <w:noProof/>
        </w:rPr>
      </w:pPr>
      <w:r w:rsidRPr="008D249A">
        <w:rPr>
          <w:noProof/>
        </w:rPr>
        <w:lastRenderedPageBreak/>
        <w:t>55.</w:t>
      </w:r>
      <w:r w:rsidRPr="008D249A">
        <w:rPr>
          <w:noProof/>
        </w:rPr>
        <w:tab/>
        <w:t xml:space="preserve">Melters, D.P.; Bradnam, K.R.; Young, H.A.; Telis, N.; May, M.R.; Ruby, J.G.; Sebra, R.; Peluso, P.; Eid, J.; Rank, D., et al. Comparative analysis of tandem repeats from hundreds of species reveals unique insights into centromere evolution. </w:t>
      </w:r>
      <w:r w:rsidRPr="008D249A">
        <w:rPr>
          <w:i/>
          <w:noProof/>
        </w:rPr>
        <w:t xml:space="preserve">Genome Biology </w:t>
      </w:r>
      <w:r w:rsidRPr="008D249A">
        <w:rPr>
          <w:b/>
          <w:noProof/>
        </w:rPr>
        <w:t>2013</w:t>
      </w:r>
      <w:r w:rsidRPr="008D249A">
        <w:rPr>
          <w:noProof/>
        </w:rPr>
        <w:t xml:space="preserve">, </w:t>
      </w:r>
      <w:r w:rsidRPr="008D249A">
        <w:rPr>
          <w:i/>
          <w:noProof/>
        </w:rPr>
        <w:t>14</w:t>
      </w:r>
      <w:r w:rsidRPr="008D249A">
        <w:rPr>
          <w:noProof/>
        </w:rPr>
        <w:t>, R10, doi:10.1186/gb-2013-14-1-r10.</w:t>
      </w:r>
    </w:p>
    <w:p w:rsidR="008D249A" w:rsidRPr="008D249A" w:rsidRDefault="008D249A" w:rsidP="008D249A">
      <w:pPr>
        <w:pStyle w:val="EndNoteBibliography"/>
        <w:ind w:left="720" w:hanging="720"/>
        <w:rPr>
          <w:noProof/>
        </w:rPr>
      </w:pPr>
      <w:r w:rsidRPr="008D249A">
        <w:rPr>
          <w:noProof/>
        </w:rPr>
        <w:t>56.</w:t>
      </w:r>
      <w:r w:rsidRPr="008D249A">
        <w:rPr>
          <w:noProof/>
        </w:rPr>
        <w:tab/>
        <w:t xml:space="preserve">Rabosky, D.L.; Goldberg, E.E. Model inadequacy and mistaken inferences of trait-dependent speciation. </w:t>
      </w:r>
      <w:r w:rsidRPr="008D249A">
        <w:rPr>
          <w:i/>
          <w:noProof/>
        </w:rPr>
        <w:t xml:space="preserve">Syst Biol </w:t>
      </w:r>
      <w:r w:rsidRPr="008D249A">
        <w:rPr>
          <w:b/>
          <w:noProof/>
        </w:rPr>
        <w:t>2015</w:t>
      </w:r>
      <w:r w:rsidRPr="008D249A">
        <w:rPr>
          <w:noProof/>
        </w:rPr>
        <w:t xml:space="preserve">, </w:t>
      </w:r>
      <w:r w:rsidRPr="008D249A">
        <w:rPr>
          <w:i/>
          <w:noProof/>
        </w:rPr>
        <w:t>64</w:t>
      </w:r>
      <w:r w:rsidRPr="008D249A">
        <w:rPr>
          <w:noProof/>
        </w:rPr>
        <w:t>, 340-355.</w:t>
      </w:r>
    </w:p>
    <w:p w:rsidR="008D249A" w:rsidRPr="008D249A" w:rsidRDefault="008D249A" w:rsidP="008D249A">
      <w:pPr>
        <w:pStyle w:val="EndNoteBibliography"/>
        <w:ind w:left="720" w:hanging="720"/>
        <w:rPr>
          <w:noProof/>
        </w:rPr>
      </w:pPr>
      <w:r w:rsidRPr="008D249A">
        <w:rPr>
          <w:noProof/>
        </w:rPr>
        <w:t>57.</w:t>
      </w:r>
      <w:r w:rsidRPr="008D249A">
        <w:rPr>
          <w:noProof/>
        </w:rPr>
        <w:tab/>
        <w:t xml:space="preserve">Bachtrog, D.; Weiss, S.; Zangerl, B.; Brem, G.; Schlötterer, C. Distribution of dinucleotide microsatellites in the Drosophila melanogaster genome. </w:t>
      </w:r>
      <w:r w:rsidRPr="008D249A">
        <w:rPr>
          <w:i/>
          <w:noProof/>
        </w:rPr>
        <w:t xml:space="preserve">Molecular Biology and Evolution </w:t>
      </w:r>
      <w:r w:rsidRPr="008D249A">
        <w:rPr>
          <w:b/>
          <w:noProof/>
        </w:rPr>
        <w:t>1999</w:t>
      </w:r>
      <w:r w:rsidRPr="008D249A">
        <w:rPr>
          <w:noProof/>
        </w:rPr>
        <w:t xml:space="preserve">, </w:t>
      </w:r>
      <w:r w:rsidRPr="008D249A">
        <w:rPr>
          <w:i/>
          <w:noProof/>
        </w:rPr>
        <w:t>16</w:t>
      </w:r>
      <w:r w:rsidRPr="008D249A">
        <w:rPr>
          <w:noProof/>
        </w:rPr>
        <w:t>, 602-610.</w:t>
      </w:r>
    </w:p>
    <w:p w:rsidR="008D249A" w:rsidRPr="008D249A" w:rsidRDefault="008D249A" w:rsidP="008D249A">
      <w:pPr>
        <w:pStyle w:val="EndNoteBibliography"/>
        <w:ind w:left="720" w:hanging="720"/>
        <w:rPr>
          <w:noProof/>
        </w:rPr>
      </w:pPr>
      <w:r w:rsidRPr="008D249A">
        <w:rPr>
          <w:noProof/>
        </w:rPr>
        <w:t>58.</w:t>
      </w:r>
      <w:r w:rsidRPr="008D249A">
        <w:rPr>
          <w:noProof/>
        </w:rPr>
        <w:tab/>
        <w:t xml:space="preserve">Lowenhaupt, K.; Rich, A.; Pardue, M. Nonrandom distribution of long mono-and dinucleotide repeats in Drosophila chromosomes: correlations with dosage compensation, heterochromatin, and recombination. </w:t>
      </w:r>
      <w:r w:rsidRPr="008D249A">
        <w:rPr>
          <w:i/>
          <w:noProof/>
        </w:rPr>
        <w:t xml:space="preserve">Molecular and Cellular Biology </w:t>
      </w:r>
      <w:r w:rsidRPr="008D249A">
        <w:rPr>
          <w:b/>
          <w:noProof/>
        </w:rPr>
        <w:t>1989</w:t>
      </w:r>
      <w:r w:rsidRPr="008D249A">
        <w:rPr>
          <w:noProof/>
        </w:rPr>
        <w:t xml:space="preserve">, </w:t>
      </w:r>
      <w:r w:rsidRPr="008D249A">
        <w:rPr>
          <w:i/>
          <w:noProof/>
        </w:rPr>
        <w:t>9</w:t>
      </w:r>
      <w:r w:rsidRPr="008D249A">
        <w:rPr>
          <w:noProof/>
        </w:rPr>
        <w:t>, 1173-1182.</w:t>
      </w:r>
    </w:p>
    <w:p w:rsidR="008D249A" w:rsidRPr="008D249A" w:rsidRDefault="008D249A" w:rsidP="008D249A">
      <w:pPr>
        <w:pStyle w:val="EndNoteBibliography"/>
        <w:ind w:left="720" w:hanging="720"/>
        <w:rPr>
          <w:noProof/>
        </w:rPr>
      </w:pPr>
      <w:r w:rsidRPr="008D249A">
        <w:rPr>
          <w:noProof/>
        </w:rPr>
        <w:t>59.</w:t>
      </w:r>
      <w:r w:rsidRPr="008D249A">
        <w:rPr>
          <w:noProof/>
        </w:rPr>
        <w:tab/>
        <w:t xml:space="preserve">Charlesworth, B.; Sniegowski, P.; Stephan, W. The evolutionary dynamics of repetitive DNA in eukaryotes. </w:t>
      </w:r>
      <w:r w:rsidRPr="008D249A">
        <w:rPr>
          <w:i/>
          <w:noProof/>
        </w:rPr>
        <w:t xml:space="preserve">Nature </w:t>
      </w:r>
      <w:r w:rsidRPr="008D249A">
        <w:rPr>
          <w:b/>
          <w:noProof/>
        </w:rPr>
        <w:t>1994</w:t>
      </w:r>
      <w:r w:rsidRPr="008D249A">
        <w:rPr>
          <w:noProof/>
        </w:rPr>
        <w:t xml:space="preserve">, </w:t>
      </w:r>
      <w:r w:rsidRPr="008D249A">
        <w:rPr>
          <w:i/>
          <w:noProof/>
        </w:rPr>
        <w:t>371</w:t>
      </w:r>
      <w:r w:rsidRPr="008D249A">
        <w:rPr>
          <w:noProof/>
        </w:rPr>
        <w:t>, 215-220, doi:10.1038/371215a0.</w:t>
      </w:r>
    </w:p>
    <w:p w:rsidR="008D249A" w:rsidRPr="008D249A" w:rsidRDefault="008D249A" w:rsidP="008D249A">
      <w:pPr>
        <w:pStyle w:val="EndNoteBibliography"/>
        <w:ind w:left="720" w:hanging="720"/>
        <w:rPr>
          <w:noProof/>
        </w:rPr>
      </w:pPr>
      <w:r w:rsidRPr="008D249A">
        <w:rPr>
          <w:noProof/>
        </w:rPr>
        <w:t>60.</w:t>
      </w:r>
      <w:r w:rsidRPr="008D249A">
        <w:rPr>
          <w:noProof/>
        </w:rPr>
        <w:tab/>
        <w:t xml:space="preserve">Yunis, J.J.; Yasmineh, W.G. Heterochromatin, satellite DNA, and cell function. </w:t>
      </w:r>
      <w:r w:rsidRPr="008D249A">
        <w:rPr>
          <w:i/>
          <w:noProof/>
        </w:rPr>
        <w:t xml:space="preserve">Science </w:t>
      </w:r>
      <w:r w:rsidRPr="008D249A">
        <w:rPr>
          <w:b/>
          <w:noProof/>
        </w:rPr>
        <w:t>1971</w:t>
      </w:r>
      <w:r w:rsidRPr="008D249A">
        <w:rPr>
          <w:noProof/>
        </w:rPr>
        <w:t xml:space="preserve">, </w:t>
      </w:r>
      <w:r w:rsidRPr="008D249A">
        <w:rPr>
          <w:i/>
          <w:noProof/>
        </w:rPr>
        <w:t>174</w:t>
      </w:r>
      <w:r w:rsidRPr="008D249A">
        <w:rPr>
          <w:noProof/>
        </w:rPr>
        <w:t>, 1200-1209.</w:t>
      </w:r>
    </w:p>
    <w:p w:rsidR="008D249A" w:rsidRPr="008D249A" w:rsidRDefault="008D249A" w:rsidP="008D249A">
      <w:pPr>
        <w:pStyle w:val="EndNoteBibliography"/>
        <w:ind w:left="720" w:hanging="720"/>
        <w:rPr>
          <w:noProof/>
        </w:rPr>
      </w:pPr>
      <w:r w:rsidRPr="008D249A">
        <w:rPr>
          <w:noProof/>
        </w:rPr>
        <w:t>61.</w:t>
      </w:r>
      <w:r w:rsidRPr="008D249A">
        <w:rPr>
          <w:noProof/>
        </w:rPr>
        <w:tab/>
        <w:t xml:space="preserve">Hartl, D.L. Molecular melodies in high and low C. </w:t>
      </w:r>
      <w:r w:rsidRPr="008D249A">
        <w:rPr>
          <w:i/>
          <w:noProof/>
        </w:rPr>
        <w:t xml:space="preserve">Nature Reviews Genetics </w:t>
      </w:r>
      <w:r w:rsidRPr="008D249A">
        <w:rPr>
          <w:b/>
          <w:noProof/>
        </w:rPr>
        <w:t>2000</w:t>
      </w:r>
      <w:r w:rsidRPr="008D249A">
        <w:rPr>
          <w:noProof/>
        </w:rPr>
        <w:t xml:space="preserve">, </w:t>
      </w:r>
      <w:r w:rsidRPr="008D249A">
        <w:rPr>
          <w:i/>
          <w:noProof/>
        </w:rPr>
        <w:t>1</w:t>
      </w:r>
      <w:r w:rsidRPr="008D249A">
        <w:rPr>
          <w:noProof/>
        </w:rPr>
        <w:t>, 145-149.</w:t>
      </w:r>
    </w:p>
    <w:p w:rsidR="008D249A" w:rsidRPr="008D249A" w:rsidRDefault="008D249A" w:rsidP="008D249A">
      <w:pPr>
        <w:pStyle w:val="EndNoteBibliography"/>
        <w:ind w:left="720" w:hanging="720"/>
        <w:rPr>
          <w:noProof/>
        </w:rPr>
      </w:pPr>
      <w:r w:rsidRPr="008D249A">
        <w:rPr>
          <w:noProof/>
        </w:rPr>
        <w:t>62.</w:t>
      </w:r>
      <w:r w:rsidRPr="008D249A">
        <w:rPr>
          <w:noProof/>
        </w:rPr>
        <w:tab/>
        <w:t xml:space="preserve">Mirsky, A.; Ris, H. The desoxyribonucleic acid content of animal cells and its evolutionary significance. </w:t>
      </w:r>
      <w:r w:rsidRPr="008D249A">
        <w:rPr>
          <w:i/>
          <w:noProof/>
        </w:rPr>
        <w:t xml:space="preserve">The Journal of general physiology </w:t>
      </w:r>
      <w:r w:rsidRPr="008D249A">
        <w:rPr>
          <w:b/>
          <w:noProof/>
        </w:rPr>
        <w:t>1951</w:t>
      </w:r>
      <w:r w:rsidRPr="008D249A">
        <w:rPr>
          <w:noProof/>
        </w:rPr>
        <w:t xml:space="preserve">, </w:t>
      </w:r>
      <w:r w:rsidRPr="008D249A">
        <w:rPr>
          <w:i/>
          <w:noProof/>
        </w:rPr>
        <w:t>34</w:t>
      </w:r>
      <w:r w:rsidRPr="008D249A">
        <w:rPr>
          <w:noProof/>
        </w:rPr>
        <w:t>, 451.</w:t>
      </w:r>
    </w:p>
    <w:p w:rsidR="008D249A" w:rsidRPr="008D249A" w:rsidRDefault="008D249A" w:rsidP="008D249A">
      <w:pPr>
        <w:pStyle w:val="EndNoteBibliography"/>
        <w:ind w:left="720" w:hanging="720"/>
        <w:rPr>
          <w:noProof/>
        </w:rPr>
      </w:pPr>
      <w:r w:rsidRPr="008D249A">
        <w:rPr>
          <w:noProof/>
        </w:rPr>
        <w:t>63.</w:t>
      </w:r>
      <w:r w:rsidRPr="008D249A">
        <w:rPr>
          <w:noProof/>
        </w:rPr>
        <w:tab/>
        <w:t xml:space="preserve">Lynch, M.; Conery, J.S. The origins of genome complexity. </w:t>
      </w:r>
      <w:r w:rsidRPr="008D249A">
        <w:rPr>
          <w:i/>
          <w:noProof/>
        </w:rPr>
        <w:t xml:space="preserve">science </w:t>
      </w:r>
      <w:r w:rsidRPr="008D249A">
        <w:rPr>
          <w:b/>
          <w:noProof/>
        </w:rPr>
        <w:t>2003</w:t>
      </w:r>
      <w:r w:rsidRPr="008D249A">
        <w:rPr>
          <w:noProof/>
        </w:rPr>
        <w:t xml:space="preserve">, </w:t>
      </w:r>
      <w:r w:rsidRPr="008D249A">
        <w:rPr>
          <w:i/>
          <w:noProof/>
        </w:rPr>
        <w:t>302</w:t>
      </w:r>
      <w:r w:rsidRPr="008D249A">
        <w:rPr>
          <w:noProof/>
        </w:rPr>
        <w:t>, 1401-1404.</w:t>
      </w:r>
    </w:p>
    <w:p w:rsidR="008D249A" w:rsidRPr="008D249A" w:rsidRDefault="008D249A" w:rsidP="008D249A">
      <w:pPr>
        <w:pStyle w:val="EndNoteBibliography"/>
        <w:ind w:left="720" w:hanging="720"/>
        <w:rPr>
          <w:noProof/>
        </w:rPr>
      </w:pPr>
      <w:r w:rsidRPr="008D249A">
        <w:rPr>
          <w:noProof/>
        </w:rPr>
        <w:t>64.</w:t>
      </w:r>
      <w:r w:rsidRPr="008D249A">
        <w:rPr>
          <w:noProof/>
        </w:rPr>
        <w:tab/>
        <w:t xml:space="preserve">Petrov, D.A. Evolution of genome size: new approaches to an old problem. </w:t>
      </w:r>
      <w:r w:rsidRPr="008D249A">
        <w:rPr>
          <w:i/>
          <w:noProof/>
        </w:rPr>
        <w:t xml:space="preserve">TRENDS in Genetics </w:t>
      </w:r>
      <w:r w:rsidRPr="008D249A">
        <w:rPr>
          <w:b/>
          <w:noProof/>
        </w:rPr>
        <w:t>2001</w:t>
      </w:r>
      <w:r w:rsidRPr="008D249A">
        <w:rPr>
          <w:noProof/>
        </w:rPr>
        <w:t xml:space="preserve">, </w:t>
      </w:r>
      <w:r w:rsidRPr="008D249A">
        <w:rPr>
          <w:i/>
          <w:noProof/>
        </w:rPr>
        <w:t>17</w:t>
      </w:r>
      <w:r w:rsidRPr="008D249A">
        <w:rPr>
          <w:noProof/>
        </w:rPr>
        <w:t>, 23-28.</w:t>
      </w:r>
    </w:p>
    <w:p w:rsidR="008D249A" w:rsidRPr="008D249A" w:rsidRDefault="008D249A" w:rsidP="008D249A">
      <w:pPr>
        <w:pStyle w:val="EndNoteBibliography"/>
        <w:ind w:left="720" w:hanging="720"/>
        <w:rPr>
          <w:noProof/>
        </w:rPr>
      </w:pPr>
      <w:r w:rsidRPr="008D249A">
        <w:rPr>
          <w:noProof/>
        </w:rPr>
        <w:t>65.</w:t>
      </w:r>
      <w:r w:rsidRPr="008D249A">
        <w:rPr>
          <w:noProof/>
        </w:rPr>
        <w:tab/>
        <w:t xml:space="preserve">Kubis, S.; Schmidt, T.; Heslop-Harrison, J.S. Repetitive DNA elements as a major component of plant genomes. </w:t>
      </w:r>
      <w:r w:rsidRPr="008D249A">
        <w:rPr>
          <w:i/>
          <w:noProof/>
        </w:rPr>
        <w:t xml:space="preserve">Annals of Botany </w:t>
      </w:r>
      <w:r w:rsidRPr="008D249A">
        <w:rPr>
          <w:b/>
          <w:noProof/>
        </w:rPr>
        <w:t>1998</w:t>
      </w:r>
      <w:r w:rsidRPr="008D249A">
        <w:rPr>
          <w:noProof/>
        </w:rPr>
        <w:t xml:space="preserve">, </w:t>
      </w:r>
      <w:r w:rsidRPr="008D249A">
        <w:rPr>
          <w:i/>
          <w:noProof/>
        </w:rPr>
        <w:t>82</w:t>
      </w:r>
      <w:r w:rsidRPr="008D249A">
        <w:rPr>
          <w:noProof/>
        </w:rPr>
        <w:t>, 45-55.</w:t>
      </w:r>
    </w:p>
    <w:p w:rsidR="008D249A" w:rsidRPr="008D249A" w:rsidRDefault="008D249A" w:rsidP="008D249A">
      <w:pPr>
        <w:pStyle w:val="EndNoteBibliography"/>
        <w:ind w:left="720" w:hanging="720"/>
        <w:rPr>
          <w:noProof/>
        </w:rPr>
      </w:pPr>
      <w:r w:rsidRPr="008D249A">
        <w:rPr>
          <w:noProof/>
        </w:rPr>
        <w:t>66.</w:t>
      </w:r>
      <w:r w:rsidRPr="008D249A">
        <w:rPr>
          <w:noProof/>
        </w:rPr>
        <w:tab/>
        <w:t xml:space="preserve">Field, D.; Wills, C. Abundant microsatellite polymorphism in Saccharomyces cerevisiae, and the different distributions of microsatellites in eight prokaryotes and S. cerevisiae, result from strong mutation pressures and a variety of selective forces. </w:t>
      </w:r>
      <w:r w:rsidRPr="008D249A">
        <w:rPr>
          <w:i/>
          <w:noProof/>
        </w:rPr>
        <w:t xml:space="preserve">Proceedings of the National Academy of Sciences </w:t>
      </w:r>
      <w:r w:rsidRPr="008D249A">
        <w:rPr>
          <w:b/>
          <w:noProof/>
        </w:rPr>
        <w:t>1998</w:t>
      </w:r>
      <w:r w:rsidRPr="008D249A">
        <w:rPr>
          <w:noProof/>
        </w:rPr>
        <w:t xml:space="preserve">, </w:t>
      </w:r>
      <w:r w:rsidRPr="008D249A">
        <w:rPr>
          <w:i/>
          <w:noProof/>
        </w:rPr>
        <w:t>95</w:t>
      </w:r>
      <w:r w:rsidRPr="008D249A">
        <w:rPr>
          <w:noProof/>
        </w:rPr>
        <w:t>, 1647-1652.</w:t>
      </w:r>
    </w:p>
    <w:p w:rsidR="008D249A" w:rsidRPr="008D249A" w:rsidRDefault="008D249A" w:rsidP="008D249A">
      <w:pPr>
        <w:pStyle w:val="EndNoteBibliography"/>
        <w:ind w:left="720" w:hanging="720"/>
        <w:rPr>
          <w:noProof/>
        </w:rPr>
      </w:pPr>
      <w:r w:rsidRPr="008D249A">
        <w:rPr>
          <w:noProof/>
        </w:rPr>
        <w:t>67.</w:t>
      </w:r>
      <w:r w:rsidRPr="008D249A">
        <w:rPr>
          <w:noProof/>
        </w:rPr>
        <w:tab/>
        <w:t xml:space="preserve">Primmer, C.R.; Raudsepp, T.; Chowdhary, B.P.; Møller, A.P.; Ellegren, H. Low frequency of microsatellites in the avian genome. </w:t>
      </w:r>
      <w:r w:rsidRPr="008D249A">
        <w:rPr>
          <w:i/>
          <w:noProof/>
        </w:rPr>
        <w:t xml:space="preserve">Genome Research </w:t>
      </w:r>
      <w:r w:rsidRPr="008D249A">
        <w:rPr>
          <w:b/>
          <w:noProof/>
        </w:rPr>
        <w:t>1997</w:t>
      </w:r>
      <w:r w:rsidRPr="008D249A">
        <w:rPr>
          <w:noProof/>
        </w:rPr>
        <w:t xml:space="preserve">, </w:t>
      </w:r>
      <w:r w:rsidRPr="008D249A">
        <w:rPr>
          <w:i/>
          <w:noProof/>
        </w:rPr>
        <w:t>7</w:t>
      </w:r>
      <w:r w:rsidRPr="008D249A">
        <w:rPr>
          <w:noProof/>
        </w:rPr>
        <w:t>, 471-482.</w:t>
      </w:r>
    </w:p>
    <w:p w:rsidR="008D249A" w:rsidRPr="008D249A" w:rsidRDefault="008D249A" w:rsidP="008D249A">
      <w:pPr>
        <w:pStyle w:val="EndNoteBibliography"/>
        <w:ind w:left="720" w:hanging="720"/>
        <w:rPr>
          <w:noProof/>
        </w:rPr>
      </w:pPr>
      <w:r w:rsidRPr="008D249A">
        <w:rPr>
          <w:noProof/>
        </w:rPr>
        <w:t>68.</w:t>
      </w:r>
      <w:r w:rsidRPr="008D249A">
        <w:rPr>
          <w:noProof/>
        </w:rPr>
        <w:tab/>
        <w:t xml:space="preserve">Oliver, M.J.; Petrov, D.; Ackerly, D.; Falkowski, P.; Schofield, O.M. The mode and tempo of genome size evolution in eukaryotes. </w:t>
      </w:r>
      <w:r w:rsidRPr="008D249A">
        <w:rPr>
          <w:i/>
          <w:noProof/>
        </w:rPr>
        <w:t xml:space="preserve">Genome research </w:t>
      </w:r>
      <w:r w:rsidRPr="008D249A">
        <w:rPr>
          <w:b/>
          <w:noProof/>
        </w:rPr>
        <w:t>2007</w:t>
      </w:r>
      <w:r w:rsidRPr="008D249A">
        <w:rPr>
          <w:noProof/>
        </w:rPr>
        <w:t xml:space="preserve">, </w:t>
      </w:r>
      <w:r w:rsidRPr="008D249A">
        <w:rPr>
          <w:i/>
          <w:noProof/>
        </w:rPr>
        <w:t>17</w:t>
      </w:r>
      <w:r w:rsidRPr="008D249A">
        <w:rPr>
          <w:noProof/>
        </w:rPr>
        <w:t>, 594-601.</w:t>
      </w:r>
    </w:p>
    <w:p w:rsidR="008D249A" w:rsidRPr="008D249A" w:rsidRDefault="008D249A" w:rsidP="008D249A">
      <w:pPr>
        <w:pStyle w:val="EndNoteBibliography"/>
        <w:ind w:left="720" w:hanging="720"/>
        <w:rPr>
          <w:noProof/>
        </w:rPr>
      </w:pPr>
      <w:r w:rsidRPr="008D249A">
        <w:rPr>
          <w:noProof/>
        </w:rPr>
        <w:t>69.</w:t>
      </w:r>
      <w:r w:rsidRPr="008D249A">
        <w:rPr>
          <w:noProof/>
        </w:rPr>
        <w:tab/>
        <w:t xml:space="preserve">Rubinsztein, D.C.; Amos, W.; Leggo, J.; Goodburn, S.; Jain, S.; Li, S.-H.; Margolis, R.L.; Ross, C.A.; Ferguson-Smith, M.A. Microsatellite evolution—evidence for directionality and variation in rate between species. </w:t>
      </w:r>
      <w:r w:rsidRPr="008D249A">
        <w:rPr>
          <w:i/>
          <w:noProof/>
        </w:rPr>
        <w:t xml:space="preserve">Nature genetics </w:t>
      </w:r>
      <w:r w:rsidRPr="008D249A">
        <w:rPr>
          <w:b/>
          <w:noProof/>
        </w:rPr>
        <w:t>1995</w:t>
      </w:r>
      <w:r w:rsidRPr="008D249A">
        <w:rPr>
          <w:noProof/>
        </w:rPr>
        <w:t xml:space="preserve">, </w:t>
      </w:r>
      <w:r w:rsidRPr="008D249A">
        <w:rPr>
          <w:i/>
          <w:noProof/>
        </w:rPr>
        <w:t>10</w:t>
      </w:r>
      <w:r w:rsidRPr="008D249A">
        <w:rPr>
          <w:noProof/>
        </w:rPr>
        <w:t>, 337-343.</w:t>
      </w:r>
    </w:p>
    <w:p w:rsidR="006E06CC" w:rsidRDefault="00FF5DE6" w:rsidP="00C169C3">
      <w:pPr>
        <w:pStyle w:val="MDPI71References"/>
        <w:numPr>
          <w:ilvl w:val="0"/>
          <w:numId w:val="0"/>
        </w:numPr>
        <w:spacing w:after="240"/>
        <w:rPr>
          <w:rFonts w:eastAsia="SimSun"/>
        </w:rPr>
      </w:pPr>
      <w:r>
        <w:rPr>
          <w:rFonts w:eastAsia="SimSun"/>
        </w:rPr>
        <w:fldChar w:fldCharType="end"/>
      </w:r>
    </w:p>
    <w:p w:rsidR="00FF5DE6" w:rsidRDefault="00FF5DE6" w:rsidP="00FF5DE6">
      <w:pPr>
        <w:pStyle w:val="MDPI71References"/>
        <w:numPr>
          <w:ilvl w:val="0"/>
          <w:numId w:val="0"/>
        </w:numPr>
        <w:spacing w:after="240"/>
      </w:pPr>
    </w:p>
    <w:p w:rsidR="00FF5DE6" w:rsidRDefault="00FF5DE6" w:rsidP="00FF5DE6">
      <w:pPr>
        <w:pStyle w:val="MDPI71References"/>
        <w:numPr>
          <w:ilvl w:val="0"/>
          <w:numId w:val="0"/>
        </w:numPr>
        <w:spacing w:after="240"/>
        <w:ind w:left="425" w:hanging="425"/>
      </w:pPr>
    </w:p>
    <w:tbl>
      <w:tblPr>
        <w:tblW w:w="0" w:type="auto"/>
        <w:jc w:val="center"/>
        <w:tblLook w:val="04A0" w:firstRow="1" w:lastRow="0" w:firstColumn="1" w:lastColumn="0" w:noHBand="0" w:noVBand="1"/>
      </w:tblPr>
      <w:tblGrid>
        <w:gridCol w:w="1695"/>
        <w:gridCol w:w="7149"/>
      </w:tblGrid>
      <w:tr w:rsidR="00FF5DE6" w:rsidRPr="009A0C87" w:rsidTr="00FF5DE6">
        <w:trPr>
          <w:trHeight w:val="64"/>
          <w:jc w:val="center"/>
        </w:trPr>
        <w:tc>
          <w:tcPr>
            <w:tcW w:w="0" w:type="auto"/>
            <w:shd w:val="clear" w:color="auto" w:fill="auto"/>
            <w:vAlign w:val="center"/>
          </w:tcPr>
          <w:p w:rsidR="00FF5DE6" w:rsidRPr="009A0C87" w:rsidRDefault="0088417C" w:rsidP="00FF5DE6">
            <w:pPr>
              <w:pStyle w:val="MDPI71References"/>
              <w:numPr>
                <w:ilvl w:val="0"/>
                <w:numId w:val="0"/>
              </w:numPr>
              <w:ind w:left="-85"/>
              <w:rPr>
                <w:rFonts w:eastAsia="SimSun"/>
                <w:bCs/>
              </w:rPr>
            </w:pPr>
            <w:r>
              <w:rPr>
                <w:rFonts w:eastAsia="SimSun"/>
                <w:bCs/>
                <w:noProof/>
                <w:snapToGrid/>
              </w:rPr>
              <w:drawing>
                <wp:inline distT="0" distB="0" distL="0" distR="0" wp14:anchorId="24B94A8D">
                  <wp:extent cx="993140" cy="362585"/>
                  <wp:effectExtent l="0" t="0" r="0" b="0"/>
                  <wp:docPr id="6" name="Picture 6" descr="copyRigh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opyRight"/>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3140" cy="362585"/>
                          </a:xfrm>
                          <a:prstGeom prst="rect">
                            <a:avLst/>
                          </a:prstGeom>
                          <a:noFill/>
                          <a:ln>
                            <a:noFill/>
                          </a:ln>
                        </pic:spPr>
                      </pic:pic>
                    </a:graphicData>
                  </a:graphic>
                </wp:inline>
              </w:drawing>
            </w:r>
          </w:p>
        </w:tc>
        <w:tc>
          <w:tcPr>
            <w:tcW w:w="7149" w:type="dxa"/>
            <w:shd w:val="clear" w:color="auto" w:fill="auto"/>
            <w:vAlign w:val="center"/>
          </w:tcPr>
          <w:p w:rsidR="00FF5DE6" w:rsidRPr="009A0C87" w:rsidRDefault="00FF5DE6" w:rsidP="00FF5DE6">
            <w:pPr>
              <w:pStyle w:val="MDPI71References"/>
              <w:numPr>
                <w:ilvl w:val="0"/>
                <w:numId w:val="0"/>
              </w:numPr>
              <w:ind w:left="-85"/>
              <w:rPr>
                <w:rFonts w:eastAsia="SimSun"/>
                <w:bCs/>
              </w:rPr>
            </w:pPr>
            <w:r>
              <w:rPr>
                <w:rFonts w:eastAsia="SimSun"/>
                <w:bCs/>
              </w:rPr>
              <w:t>© 2020</w:t>
            </w:r>
            <w:r w:rsidRPr="009A0C87">
              <w:rPr>
                <w:rFonts w:eastAsia="SimSun"/>
                <w:bCs/>
              </w:rPr>
              <w:t xml:space="preserve"> by the authors. Submitted for possible open access publication under the terms and conditions of the Creative Commons Attribution (CC BY) license (http://creativecommons.org/licenses/by/4.0/).</w:t>
            </w:r>
          </w:p>
        </w:tc>
      </w:tr>
    </w:tbl>
    <w:p w:rsidR="00FF5DE6" w:rsidRDefault="00FF5DE6" w:rsidP="00FF5DE6">
      <w:pPr>
        <w:pStyle w:val="MDPI71References"/>
        <w:numPr>
          <w:ilvl w:val="0"/>
          <w:numId w:val="0"/>
        </w:numPr>
        <w:spacing w:after="240"/>
        <w:rPr>
          <w:rFonts w:eastAsia="SimSun"/>
        </w:rPr>
      </w:pPr>
    </w:p>
    <w:p w:rsidR="00FF5DE6" w:rsidRPr="00B0378F" w:rsidRDefault="00FF5DE6" w:rsidP="00C169C3">
      <w:pPr>
        <w:pStyle w:val="MDPI71References"/>
        <w:numPr>
          <w:ilvl w:val="0"/>
          <w:numId w:val="0"/>
        </w:numPr>
        <w:spacing w:after="240"/>
        <w:rPr>
          <w:rFonts w:eastAsia="SimSun"/>
        </w:rPr>
      </w:pPr>
    </w:p>
    <w:sectPr w:rsidR="00FF5DE6" w:rsidRPr="00B0378F" w:rsidSect="006E06CC">
      <w:headerReference w:type="even" r:id="rId17"/>
      <w:headerReference w:type="default" r:id="rId18"/>
      <w:footerReference w:type="default" r:id="rId19"/>
      <w:headerReference w:type="first" r:id="rId20"/>
      <w:footerReference w:type="first" r:id="rId21"/>
      <w:pgSz w:w="11906" w:h="16838" w:code="9"/>
      <w:pgMar w:top="1417" w:right="1531" w:bottom="1077" w:left="1531" w:header="1020" w:footer="850" w:gutter="0"/>
      <w:lnNumType w:countBy="1" w:restart="continuous"/>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178" w:rsidRDefault="00EE3178">
      <w:pPr>
        <w:spacing w:line="240" w:lineRule="auto"/>
      </w:pPr>
      <w:r>
        <w:separator/>
      </w:r>
    </w:p>
  </w:endnote>
  <w:endnote w:type="continuationSeparator" w:id="0">
    <w:p w:rsidR="00EE3178" w:rsidRDefault="00EE31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6A0E" w:rsidRPr="00467AEF" w:rsidRDefault="00296A0E" w:rsidP="00FA23F5">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6A0E" w:rsidRPr="00372FCD" w:rsidRDefault="00296A0E" w:rsidP="00D00688">
    <w:pPr>
      <w:tabs>
        <w:tab w:val="right" w:pos="8844"/>
      </w:tabs>
      <w:adjustRightInd w:val="0"/>
      <w:snapToGrid w:val="0"/>
      <w:spacing w:before="120" w:line="240" w:lineRule="auto"/>
      <w:rPr>
        <w:rFonts w:ascii="Palatino Linotype" w:hAnsi="Palatino Linotype"/>
        <w:sz w:val="16"/>
        <w:szCs w:val="16"/>
        <w:lang w:val="fr-CH"/>
      </w:rPr>
    </w:pPr>
    <w:r w:rsidRPr="00FA45E7">
      <w:rPr>
        <w:rFonts w:ascii="Palatino Linotype" w:hAnsi="Palatino Linotype"/>
        <w:i/>
        <w:sz w:val="16"/>
        <w:szCs w:val="16"/>
      </w:rPr>
      <w:t>Genes</w:t>
    </w:r>
    <w:r>
      <w:rPr>
        <w:rFonts w:ascii="Palatino Linotype" w:hAnsi="Palatino Linotype"/>
        <w:i/>
        <w:sz w:val="16"/>
        <w:szCs w:val="16"/>
      </w:rPr>
      <w:t xml:space="preserve"> </w:t>
    </w:r>
    <w:r w:rsidRPr="00C169C3">
      <w:rPr>
        <w:rFonts w:ascii="Palatino Linotype" w:hAnsi="Palatino Linotype"/>
        <w:b/>
        <w:bCs/>
        <w:iCs/>
        <w:sz w:val="16"/>
        <w:szCs w:val="16"/>
      </w:rPr>
      <w:t>20</w:t>
    </w:r>
    <w:r>
      <w:rPr>
        <w:rFonts w:ascii="Palatino Linotype" w:hAnsi="Palatino Linotype"/>
        <w:b/>
        <w:bCs/>
        <w:iCs/>
        <w:sz w:val="16"/>
        <w:szCs w:val="16"/>
      </w:rPr>
      <w:t>20</w:t>
    </w:r>
    <w:r w:rsidRPr="00C169C3">
      <w:rPr>
        <w:rFonts w:ascii="Palatino Linotype" w:hAnsi="Palatino Linotype"/>
        <w:bCs/>
        <w:iCs/>
        <w:sz w:val="16"/>
        <w:szCs w:val="16"/>
      </w:rPr>
      <w:t xml:space="preserve">, </w:t>
    </w:r>
    <w:r w:rsidRPr="00C169C3">
      <w:rPr>
        <w:rFonts w:ascii="Palatino Linotype" w:hAnsi="Palatino Linotype"/>
        <w:bCs/>
        <w:i/>
        <w:iCs/>
        <w:sz w:val="16"/>
        <w:szCs w:val="16"/>
      </w:rPr>
      <w:t>1</w:t>
    </w:r>
    <w:r>
      <w:rPr>
        <w:rFonts w:ascii="Palatino Linotype" w:hAnsi="Palatino Linotype"/>
        <w:bCs/>
        <w:i/>
        <w:iCs/>
        <w:sz w:val="16"/>
        <w:szCs w:val="16"/>
      </w:rPr>
      <w:t>1</w:t>
    </w:r>
    <w:r w:rsidRPr="00C169C3">
      <w:rPr>
        <w:rFonts w:ascii="Palatino Linotype" w:hAnsi="Palatino Linotype"/>
        <w:bCs/>
        <w:iCs/>
        <w:sz w:val="16"/>
        <w:szCs w:val="16"/>
      </w:rPr>
      <w:t xml:space="preserve">, </w:t>
    </w:r>
    <w:r>
      <w:rPr>
        <w:rFonts w:ascii="Palatino Linotype" w:hAnsi="Palatino Linotype"/>
        <w:bCs/>
        <w:iCs/>
        <w:sz w:val="16"/>
        <w:szCs w:val="16"/>
      </w:rPr>
      <w:t>x; doi: FOR PEER REVIEW</w:t>
    </w:r>
    <w:r w:rsidRPr="00372FCD">
      <w:rPr>
        <w:rFonts w:ascii="Palatino Linotype" w:hAnsi="Palatino Linotype"/>
        <w:sz w:val="16"/>
        <w:szCs w:val="16"/>
        <w:lang w:val="fr-CH"/>
      </w:rPr>
      <w:tab/>
      <w:t>www.mdpi.com/journal/</w:t>
    </w:r>
    <w:r w:rsidRPr="00FA45E7">
      <w:rPr>
        <w:rFonts w:ascii="Palatino Linotype" w:hAnsi="Palatino Linotype"/>
        <w:sz w:val="16"/>
        <w:szCs w:val="16"/>
      </w:rPr>
      <w:t>genes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178" w:rsidRDefault="00EE3178">
      <w:pPr>
        <w:spacing w:line="240" w:lineRule="auto"/>
      </w:pPr>
      <w:r>
        <w:separator/>
      </w:r>
    </w:p>
  </w:footnote>
  <w:footnote w:type="continuationSeparator" w:id="0">
    <w:p w:rsidR="00EE3178" w:rsidRDefault="00EE31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6A0E" w:rsidRDefault="00296A0E" w:rsidP="00FA23F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6A0E" w:rsidRPr="002F100C" w:rsidRDefault="00296A0E" w:rsidP="00D00688">
    <w:pPr>
      <w:tabs>
        <w:tab w:val="right" w:pos="8844"/>
      </w:tabs>
      <w:adjustRightInd w:val="0"/>
      <w:snapToGrid w:val="0"/>
      <w:spacing w:after="240" w:line="240" w:lineRule="auto"/>
      <w:rPr>
        <w:rFonts w:ascii="Palatino Linotype" w:hAnsi="Palatino Linotype"/>
        <w:sz w:val="16"/>
      </w:rPr>
    </w:pPr>
    <w:r>
      <w:rPr>
        <w:rFonts w:ascii="Palatino Linotype" w:hAnsi="Palatino Linotype"/>
        <w:i/>
        <w:sz w:val="16"/>
      </w:rPr>
      <w:t xml:space="preserve">Genes </w:t>
    </w:r>
    <w:r w:rsidRPr="00C169C3">
      <w:rPr>
        <w:rFonts w:ascii="Palatino Linotype" w:hAnsi="Palatino Linotype"/>
        <w:b/>
        <w:sz w:val="16"/>
      </w:rPr>
      <w:t>20</w:t>
    </w:r>
    <w:r>
      <w:rPr>
        <w:rFonts w:ascii="Palatino Linotype" w:hAnsi="Palatino Linotype"/>
        <w:b/>
        <w:sz w:val="16"/>
      </w:rPr>
      <w:t>20</w:t>
    </w:r>
    <w:r w:rsidRPr="00C169C3">
      <w:rPr>
        <w:rFonts w:ascii="Palatino Linotype" w:hAnsi="Palatino Linotype"/>
        <w:sz w:val="16"/>
      </w:rPr>
      <w:t xml:space="preserve">, </w:t>
    </w:r>
    <w:r w:rsidRPr="00C169C3">
      <w:rPr>
        <w:rFonts w:ascii="Palatino Linotype" w:hAnsi="Palatino Linotype"/>
        <w:i/>
        <w:sz w:val="16"/>
      </w:rPr>
      <w:t>1</w:t>
    </w:r>
    <w:r>
      <w:rPr>
        <w:rFonts w:ascii="Palatino Linotype" w:hAnsi="Palatino Linotype"/>
        <w:i/>
        <w:sz w:val="16"/>
      </w:rPr>
      <w:t>1</w:t>
    </w:r>
    <w:r>
      <w:rPr>
        <w:rFonts w:ascii="Palatino Linotype" w:hAnsi="Palatino Linotype"/>
        <w:sz w:val="16"/>
      </w:rPr>
      <w:t>, x FOR PEER REVIEW</w:t>
    </w: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Pr>
        <w:rFonts w:ascii="Palatino Linotype" w:hAnsi="Palatino Linotype"/>
        <w:noProof/>
        <w:sz w:val="16"/>
      </w:rPr>
      <w:t>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Pr>
        <w:rFonts w:ascii="Palatino Linotype" w:hAnsi="Palatino Linotype"/>
        <w:noProof/>
        <w:sz w:val="16"/>
      </w:rPr>
      <w:t>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6A0E" w:rsidRDefault="0088417C" w:rsidP="00FA23F5">
    <w:pPr>
      <w:pStyle w:val="MDPIheaderjournallogo"/>
    </w:pPr>
    <w:r>
      <w:rPr>
        <w:noProof/>
      </w:rPr>
      <mc:AlternateContent>
        <mc:Choice Requires="wps">
          <w:drawing>
            <wp:anchor distT="45720" distB="45720" distL="114300" distR="114300" simplePos="0" relativeHeight="251657728" behindDoc="1" locked="0" layoutInCell="1" allowOverlap="1" wp14:anchorId="1AB5D8E2">
              <wp:simplePos x="0" y="0"/>
              <wp:positionH relativeFrom="page">
                <wp:posOffset>6029960</wp:posOffset>
              </wp:positionH>
              <wp:positionV relativeFrom="page">
                <wp:posOffset>647700</wp:posOffset>
              </wp:positionV>
              <wp:extent cx="553085" cy="70929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3085" cy="709295"/>
                      </a:xfrm>
                      <a:prstGeom prst="rect">
                        <a:avLst/>
                      </a:prstGeom>
                      <a:solidFill>
                        <a:srgbClr val="FFFFFF"/>
                      </a:solidFill>
                      <a:ln w="9525">
                        <a:noFill/>
                        <a:miter lim="800000"/>
                        <a:headEnd/>
                        <a:tailEnd/>
                      </a:ln>
                    </wps:spPr>
                    <wps:txbx>
                      <w:txbxContent>
                        <w:p w:rsidR="00296A0E" w:rsidRDefault="0088417C" w:rsidP="00FA23F5">
                          <w:pPr>
                            <w:pStyle w:val="MDPIheaderjournallogo"/>
                            <w:jc w:val="center"/>
                            <w:textboxTightWrap w:val="allLines"/>
                            <w:rPr>
                              <w:i w:val="0"/>
                              <w:szCs w:val="16"/>
                            </w:rPr>
                          </w:pPr>
                          <w:r>
                            <w:rPr>
                              <w:i w:val="0"/>
                              <w:noProof/>
                              <w:szCs w:val="16"/>
                              <w:lang w:eastAsia="zh-CN"/>
                            </w:rPr>
                            <w:drawing>
                              <wp:inline distT="0" distB="0" distL="0" distR="0" wp14:anchorId="02E6BCAD">
                                <wp:extent cx="551815" cy="362585"/>
                                <wp:effectExtent l="0" t="0" r="0" b="0"/>
                                <wp:docPr id="8" name="Picture 8" descr="logo-mdp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logo-mdpi"/>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1815" cy="362585"/>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B5D8E2" id="_x0000_t202" coordsize="21600,21600" o:spt="202" path="m,l,21600r21600,l21600,xe">
              <v:stroke joinstyle="miter"/>
              <v:path gradientshapeok="t" o:connecttype="rect"/>
            </v:shapetype>
            <v:shape id="Text Box 2" o:spid="_x0000_s1026" type="#_x0000_t202" style="position:absolute;margin-left:474.8pt;margin-top:51pt;width:43.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" stroked="f">
              <v:textbox inset="0,0,0,0">
                <w:txbxContent>
                  <w:p w:rsidR="00296A0E" w:rsidRDefault="0088417C" w:rsidP="00FA23F5">
                    <w:pPr>
                      <w:pStyle w:val="MDPIheaderjournallogo"/>
                      <w:jc w:val="center"/>
                      <w:textboxTightWrap w:val="allLines"/>
                      <w:rPr>
                        <w:i w:val="0"/>
                        <w:szCs w:val="16"/>
                      </w:rPr>
                    </w:pPr>
                    <w:r>
                      <w:rPr>
                        <w:i w:val="0"/>
                        <w:noProof/>
                        <w:szCs w:val="16"/>
                        <w:lang w:eastAsia="zh-CN"/>
                      </w:rPr>
                      <w:drawing>
                        <wp:inline distT="0" distB="0" distL="0" distR="0" wp14:anchorId="02E6BCAD">
                          <wp:extent cx="551815" cy="362585"/>
                          <wp:effectExtent l="0" t="0" r="0" b="0"/>
                          <wp:docPr id="8" name="Picture 8" descr="logo-mdp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logo-mdpi"/>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1815" cy="362585"/>
                                  </a:xfrm>
                                  <a:prstGeom prst="rect">
                                    <a:avLst/>
                                  </a:prstGeom>
                                  <a:noFill/>
                                  <a:ln>
                                    <a:noFill/>
                                  </a:ln>
                                </pic:spPr>
                              </pic:pic>
                            </a:graphicData>
                          </a:graphic>
                        </wp:inline>
                      </w:drawing>
                    </w:r>
                  </w:p>
                </w:txbxContent>
              </v:textbox>
              <w10:wrap anchorx="page" anchory="page"/>
            </v:shape>
          </w:pict>
        </mc:Fallback>
      </mc:AlternateContent>
    </w:r>
    <w:r>
      <w:rPr>
        <w:noProof/>
        <w:lang w:eastAsia="zh-CN"/>
      </w:rPr>
      <w:drawing>
        <wp:inline distT="0" distB="0" distL="0" distR="0" wp14:anchorId="3696A5F8">
          <wp:extent cx="1261110" cy="441325"/>
          <wp:effectExtent l="0" t="0" r="0" b="0"/>
          <wp:docPr id="9" name="Picture 3" descr="genes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genes_logo"/>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1110" cy="4413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140&lt;/item&gt;&lt;item&gt;141&lt;/item&gt;&lt;item&gt;142&lt;/item&gt;&lt;item&gt;143&lt;/item&gt;&lt;item&gt;144&lt;/item&gt;&lt;item&gt;151&lt;/item&gt;&lt;item&gt;159&lt;/item&gt;&lt;item&gt;161&lt;/item&gt;&lt;item&gt;163&lt;/item&gt;&lt;item&gt;167&lt;/item&gt;&lt;item&gt;169&lt;/item&gt;&lt;item&gt;170&lt;/item&gt;&lt;item&gt;172&lt;/item&gt;&lt;item&gt;178&lt;/item&gt;&lt;item&gt;180&lt;/item&gt;&lt;item&gt;183&lt;/item&gt;&lt;item&gt;184&lt;/item&gt;&lt;item&gt;186&lt;/item&gt;&lt;item&gt;187&lt;/item&gt;&lt;item&gt;290&lt;/item&gt;&lt;item&gt;291&lt;/item&gt;&lt;item&gt;292&lt;/item&gt;&lt;item&gt;293&lt;/item&gt;&lt;item&gt;294&lt;/item&gt;&lt;item&gt;296&lt;/item&gt;&lt;item&gt;297&lt;/item&gt;&lt;item&gt;298&lt;/item&gt;&lt;item&gt;300&lt;/item&gt;&lt;item&gt;302&lt;/item&gt;&lt;item&gt;303&lt;/item&gt;&lt;item&gt;304&lt;/item&gt;&lt;item&gt;306&lt;/item&gt;&lt;item&gt;307&lt;/item&gt;&lt;item&gt;309&lt;/item&gt;&lt;item&gt;320&lt;/item&gt;&lt;item&gt;321&lt;/item&gt;&lt;item&gt;324&lt;/item&gt;&lt;item&gt;325&lt;/item&gt;&lt;item&gt;327&lt;/item&gt;&lt;item&gt;328&lt;/item&gt;&lt;item&gt;331&lt;/item&gt;&lt;item&gt;332&lt;/item&gt;&lt;item&gt;340&lt;/item&gt;&lt;item&gt;341&lt;/item&gt;&lt;item&gt;343&lt;/item&gt;&lt;item&gt;442&lt;/item&gt;&lt;item&gt;443&lt;/item&gt;&lt;item&gt;444&lt;/item&gt;&lt;item&gt;446&lt;/item&gt;&lt;item&gt;448&lt;/item&gt;&lt;item&gt;449&lt;/item&gt;&lt;item&gt;450&lt;/item&gt;&lt;item&gt;451&lt;/item&gt;&lt;item&gt;452&lt;/item&gt;&lt;/record-ids&gt;&lt;/item&gt;&lt;/Libraries&gt;"/>
  </w:docVars>
  <w:rsids>
    <w:rsidRoot w:val="009A2357"/>
    <w:rsid w:val="0000200B"/>
    <w:rsid w:val="00011CBB"/>
    <w:rsid w:val="0002334D"/>
    <w:rsid w:val="0006287F"/>
    <w:rsid w:val="00067BDC"/>
    <w:rsid w:val="000B49B5"/>
    <w:rsid w:val="000B4D20"/>
    <w:rsid w:val="000E3EAC"/>
    <w:rsid w:val="000F48B2"/>
    <w:rsid w:val="0010220D"/>
    <w:rsid w:val="00121ED1"/>
    <w:rsid w:val="0015240E"/>
    <w:rsid w:val="0016125B"/>
    <w:rsid w:val="00171D3D"/>
    <w:rsid w:val="001D21C0"/>
    <w:rsid w:val="001E2AEB"/>
    <w:rsid w:val="001F101E"/>
    <w:rsid w:val="00204E64"/>
    <w:rsid w:val="00230D88"/>
    <w:rsid w:val="002667CE"/>
    <w:rsid w:val="00296A0E"/>
    <w:rsid w:val="002A3E83"/>
    <w:rsid w:val="002C002F"/>
    <w:rsid w:val="002D6B37"/>
    <w:rsid w:val="003237C3"/>
    <w:rsid w:val="00326141"/>
    <w:rsid w:val="00350123"/>
    <w:rsid w:val="00393997"/>
    <w:rsid w:val="003B77A5"/>
    <w:rsid w:val="00401D30"/>
    <w:rsid w:val="00437C92"/>
    <w:rsid w:val="00440DD9"/>
    <w:rsid w:val="0045669F"/>
    <w:rsid w:val="004665AD"/>
    <w:rsid w:val="00476FB6"/>
    <w:rsid w:val="00494900"/>
    <w:rsid w:val="004A2084"/>
    <w:rsid w:val="004B0F6E"/>
    <w:rsid w:val="004E3799"/>
    <w:rsid w:val="004F58EF"/>
    <w:rsid w:val="00514348"/>
    <w:rsid w:val="00545C5A"/>
    <w:rsid w:val="00550DEA"/>
    <w:rsid w:val="00556C24"/>
    <w:rsid w:val="00564337"/>
    <w:rsid w:val="005712BD"/>
    <w:rsid w:val="0059315A"/>
    <w:rsid w:val="005D5AC2"/>
    <w:rsid w:val="005D714B"/>
    <w:rsid w:val="00615F79"/>
    <w:rsid w:val="00623D76"/>
    <w:rsid w:val="006365E4"/>
    <w:rsid w:val="00657201"/>
    <w:rsid w:val="00670D7E"/>
    <w:rsid w:val="00676B17"/>
    <w:rsid w:val="0068622D"/>
    <w:rsid w:val="0069077C"/>
    <w:rsid w:val="00692393"/>
    <w:rsid w:val="006975F8"/>
    <w:rsid w:val="006B4208"/>
    <w:rsid w:val="006D7060"/>
    <w:rsid w:val="006E06CC"/>
    <w:rsid w:val="00706EDF"/>
    <w:rsid w:val="00821415"/>
    <w:rsid w:val="0084094A"/>
    <w:rsid w:val="00856DFE"/>
    <w:rsid w:val="00863B26"/>
    <w:rsid w:val="0088417C"/>
    <w:rsid w:val="008961F6"/>
    <w:rsid w:val="00897141"/>
    <w:rsid w:val="008B21BE"/>
    <w:rsid w:val="008D0A87"/>
    <w:rsid w:val="008D249A"/>
    <w:rsid w:val="00930542"/>
    <w:rsid w:val="00930994"/>
    <w:rsid w:val="00957F65"/>
    <w:rsid w:val="00966151"/>
    <w:rsid w:val="009A0C87"/>
    <w:rsid w:val="009A2357"/>
    <w:rsid w:val="009A3D3E"/>
    <w:rsid w:val="009A5DB5"/>
    <w:rsid w:val="009F07A9"/>
    <w:rsid w:val="009F1008"/>
    <w:rsid w:val="009F70E6"/>
    <w:rsid w:val="00A1535E"/>
    <w:rsid w:val="00A7687B"/>
    <w:rsid w:val="00A8201C"/>
    <w:rsid w:val="00A91B46"/>
    <w:rsid w:val="00AC26B3"/>
    <w:rsid w:val="00B06279"/>
    <w:rsid w:val="00BA6231"/>
    <w:rsid w:val="00BC228F"/>
    <w:rsid w:val="00BC266F"/>
    <w:rsid w:val="00BC4CAD"/>
    <w:rsid w:val="00BE7CDB"/>
    <w:rsid w:val="00C1077A"/>
    <w:rsid w:val="00C12023"/>
    <w:rsid w:val="00C169C3"/>
    <w:rsid w:val="00C267D6"/>
    <w:rsid w:val="00C57C9C"/>
    <w:rsid w:val="00CB2D4D"/>
    <w:rsid w:val="00CC794F"/>
    <w:rsid w:val="00CE673E"/>
    <w:rsid w:val="00D00688"/>
    <w:rsid w:val="00D16056"/>
    <w:rsid w:val="00D4254C"/>
    <w:rsid w:val="00D50A74"/>
    <w:rsid w:val="00D919E3"/>
    <w:rsid w:val="00D9589C"/>
    <w:rsid w:val="00DA1B87"/>
    <w:rsid w:val="00DD0F93"/>
    <w:rsid w:val="00DE2FDA"/>
    <w:rsid w:val="00E16F27"/>
    <w:rsid w:val="00E26679"/>
    <w:rsid w:val="00E32CBB"/>
    <w:rsid w:val="00E83A1B"/>
    <w:rsid w:val="00E844F4"/>
    <w:rsid w:val="00E84CEA"/>
    <w:rsid w:val="00EA1B35"/>
    <w:rsid w:val="00EE3178"/>
    <w:rsid w:val="00F3293D"/>
    <w:rsid w:val="00F95911"/>
    <w:rsid w:val="00FA23F5"/>
    <w:rsid w:val="00FD768E"/>
    <w:rsid w:val="00FF2052"/>
    <w:rsid w:val="00FF5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32C12E-FEE1-C840-BD49-65C04677A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06CC"/>
    <w:pPr>
      <w:spacing w:line="340" w:lineRule="atLeast"/>
      <w:jc w:val="both"/>
    </w:pPr>
    <w:rPr>
      <w:rFonts w:ascii="Times New Roman" w:eastAsia="Times New Roman" w:hAnsi="Times New Roman"/>
      <w:color w:val="000000"/>
      <w:sz w:val="24"/>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6E06CC"/>
    <w:pPr>
      <w:spacing w:before="240" w:line="240" w:lineRule="auto"/>
      <w:ind w:firstLine="0"/>
      <w:jc w:val="left"/>
    </w:pPr>
    <w:rPr>
      <w:i/>
    </w:rPr>
  </w:style>
  <w:style w:type="paragraph" w:customStyle="1" w:styleId="MDPI12title">
    <w:name w:val="MDPI_1.2_title"/>
    <w:next w:val="MDPI13authornames"/>
    <w:qFormat/>
    <w:rsid w:val="006E06CC"/>
    <w:pPr>
      <w:adjustRightInd w:val="0"/>
      <w:snapToGrid w:val="0"/>
      <w:spacing w:after="240" w:line="400" w:lineRule="exact"/>
    </w:pPr>
    <w:rPr>
      <w:rFonts w:ascii="Palatino Linotype" w:eastAsia="Times New Roman" w:hAnsi="Palatino Linotype"/>
      <w:b/>
      <w:snapToGrid w:val="0"/>
      <w:color w:val="000000"/>
      <w:sz w:val="36"/>
      <w:lang w:eastAsia="de-DE" w:bidi="en-US"/>
    </w:rPr>
  </w:style>
  <w:style w:type="paragraph" w:customStyle="1" w:styleId="MDPI13authornames">
    <w:name w:val="MDPI_1.3_authornames"/>
    <w:basedOn w:val="MDPI31text"/>
    <w:next w:val="MDPI14history"/>
    <w:qFormat/>
    <w:rsid w:val="006E06CC"/>
    <w:pPr>
      <w:spacing w:after="120"/>
      <w:ind w:firstLine="0"/>
      <w:jc w:val="left"/>
    </w:pPr>
    <w:rPr>
      <w:b/>
      <w:snapToGrid/>
    </w:rPr>
  </w:style>
  <w:style w:type="paragraph" w:customStyle="1" w:styleId="MDPI14history">
    <w:name w:val="MDPI_1.4_history"/>
    <w:basedOn w:val="MDPI62Acknowledgments"/>
    <w:next w:val="Normal"/>
    <w:qFormat/>
    <w:rsid w:val="006E06CC"/>
    <w:pPr>
      <w:ind w:left="113"/>
      <w:jc w:val="left"/>
    </w:pPr>
    <w:rPr>
      <w:snapToGrid/>
    </w:rPr>
  </w:style>
  <w:style w:type="paragraph" w:customStyle="1" w:styleId="MDPI16affiliation">
    <w:name w:val="MDPI_1.6_affiliation"/>
    <w:basedOn w:val="MDPI62Acknowledgments"/>
    <w:qFormat/>
    <w:rsid w:val="006E06CC"/>
    <w:pPr>
      <w:spacing w:before="0"/>
      <w:ind w:left="311" w:hanging="198"/>
      <w:jc w:val="left"/>
    </w:pPr>
    <w:rPr>
      <w:snapToGrid/>
      <w:szCs w:val="18"/>
    </w:rPr>
  </w:style>
  <w:style w:type="paragraph" w:customStyle="1" w:styleId="MDPI17abstract">
    <w:name w:val="MDPI_1.7_abstract"/>
    <w:basedOn w:val="MDPI31text"/>
    <w:next w:val="MDPI18keywords"/>
    <w:qFormat/>
    <w:rsid w:val="006E06CC"/>
    <w:pPr>
      <w:spacing w:before="240"/>
      <w:ind w:left="113" w:firstLine="0"/>
    </w:pPr>
    <w:rPr>
      <w:snapToGrid/>
    </w:rPr>
  </w:style>
  <w:style w:type="paragraph" w:customStyle="1" w:styleId="MDPI18keywords">
    <w:name w:val="MDPI_1.8_keywords"/>
    <w:basedOn w:val="MDPI31text"/>
    <w:next w:val="Normal"/>
    <w:qFormat/>
    <w:rsid w:val="006E06CC"/>
    <w:pPr>
      <w:spacing w:before="240"/>
      <w:ind w:left="113" w:firstLine="0"/>
    </w:pPr>
  </w:style>
  <w:style w:type="paragraph" w:customStyle="1" w:styleId="MDPI19line">
    <w:name w:val="MDPI_1.9_line"/>
    <w:basedOn w:val="MDPI31text"/>
    <w:qFormat/>
    <w:rsid w:val="006E06CC"/>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6E06CC"/>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6E06C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6E06CC"/>
    <w:pPr>
      <w:tabs>
        <w:tab w:val="center" w:pos="4153"/>
        <w:tab w:val="right" w:pos="8306"/>
      </w:tabs>
      <w:snapToGrid w:val="0"/>
      <w:spacing w:line="240" w:lineRule="atLeast"/>
    </w:pPr>
    <w:rPr>
      <w:sz w:val="18"/>
      <w:szCs w:val="18"/>
    </w:rPr>
  </w:style>
  <w:style w:type="character" w:customStyle="1" w:styleId="FooterChar">
    <w:name w:val="Footer Char"/>
    <w:link w:val="Footer"/>
    <w:uiPriority w:val="99"/>
    <w:rsid w:val="006E06CC"/>
    <w:rPr>
      <w:rFonts w:ascii="Times New Roman" w:eastAsia="Times New Roman" w:hAnsi="Times New Roman" w:cs="Times New Roman"/>
      <w:color w:val="000000"/>
      <w:kern w:val="0"/>
      <w:sz w:val="18"/>
      <w:szCs w:val="18"/>
      <w:lang w:eastAsia="de-DE"/>
    </w:rPr>
  </w:style>
  <w:style w:type="paragraph" w:styleId="Header">
    <w:name w:val="header"/>
    <w:basedOn w:val="Normal"/>
    <w:link w:val="HeaderChar"/>
    <w:uiPriority w:val="99"/>
    <w:rsid w:val="006E06CC"/>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6E06CC"/>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6E06CC"/>
    <w:pPr>
      <w:adjustRightInd w:val="0"/>
      <w:snapToGrid w:val="0"/>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6E06CC"/>
    <w:pPr>
      <w:ind w:firstLine="0"/>
    </w:pPr>
  </w:style>
  <w:style w:type="paragraph" w:customStyle="1" w:styleId="MDPI33textspaceafter">
    <w:name w:val="MDPI_3.3_text_space_after"/>
    <w:basedOn w:val="MDPI31text"/>
    <w:qFormat/>
    <w:rsid w:val="006E06CC"/>
    <w:pPr>
      <w:spacing w:after="240"/>
    </w:pPr>
  </w:style>
  <w:style w:type="paragraph" w:customStyle="1" w:styleId="MDPI35textbeforelist">
    <w:name w:val="MDPI_3.5_text_before_list"/>
    <w:basedOn w:val="MDPI31text"/>
    <w:qFormat/>
    <w:rsid w:val="006E06CC"/>
    <w:pPr>
      <w:spacing w:after="120"/>
    </w:pPr>
  </w:style>
  <w:style w:type="paragraph" w:customStyle="1" w:styleId="MDPI36textafterlist">
    <w:name w:val="MDPI_3.6_text_after_list"/>
    <w:basedOn w:val="MDPI31text"/>
    <w:qFormat/>
    <w:rsid w:val="006E06CC"/>
    <w:pPr>
      <w:spacing w:before="120"/>
    </w:pPr>
  </w:style>
  <w:style w:type="paragraph" w:customStyle="1" w:styleId="MDPI37itemize">
    <w:name w:val="MDPI_3.7_itemize"/>
    <w:basedOn w:val="MDPI31text"/>
    <w:qFormat/>
    <w:rsid w:val="006E06CC"/>
    <w:pPr>
      <w:numPr>
        <w:numId w:val="1"/>
      </w:numPr>
      <w:ind w:left="425" w:hanging="425"/>
    </w:pPr>
  </w:style>
  <w:style w:type="paragraph" w:customStyle="1" w:styleId="MDPI38bullet">
    <w:name w:val="MDPI_3.8_bullet"/>
    <w:basedOn w:val="MDPI31text"/>
    <w:qFormat/>
    <w:rsid w:val="006E06CC"/>
    <w:pPr>
      <w:numPr>
        <w:numId w:val="2"/>
      </w:numPr>
      <w:ind w:left="425" w:hanging="425"/>
    </w:pPr>
  </w:style>
  <w:style w:type="paragraph" w:customStyle="1" w:styleId="MDPI39equation">
    <w:name w:val="MDPI_3.9_equation"/>
    <w:basedOn w:val="MDPI31text"/>
    <w:qFormat/>
    <w:rsid w:val="006E06CC"/>
    <w:pPr>
      <w:spacing w:before="120" w:after="120"/>
      <w:ind w:left="709" w:firstLine="0"/>
      <w:jc w:val="center"/>
    </w:pPr>
  </w:style>
  <w:style w:type="paragraph" w:customStyle="1" w:styleId="MDPI3aequationnumber">
    <w:name w:val="MDPI_3.a_equation_number"/>
    <w:basedOn w:val="MDPI31text"/>
    <w:qFormat/>
    <w:rsid w:val="006E06CC"/>
    <w:pPr>
      <w:spacing w:before="120" w:after="120" w:line="240" w:lineRule="auto"/>
      <w:ind w:firstLine="0"/>
      <w:jc w:val="right"/>
    </w:pPr>
  </w:style>
  <w:style w:type="paragraph" w:customStyle="1" w:styleId="MDPI62Acknowledgments">
    <w:name w:val="MDPI_6.2_Acknowledgments"/>
    <w:link w:val="MDPI62AcknowledgmentsChar"/>
    <w:qFormat/>
    <w:rsid w:val="006E06CC"/>
    <w:pPr>
      <w:adjustRightInd w:val="0"/>
      <w:snapToGrid w:val="0"/>
      <w:spacing w:before="120" w:line="200" w:lineRule="atLeast"/>
      <w:jc w:val="both"/>
    </w:pPr>
    <w:rPr>
      <w:rFonts w:ascii="Palatino Linotype" w:eastAsia="Times New Roman" w:hAnsi="Palatino Linotype"/>
      <w:snapToGrid w:val="0"/>
      <w:color w:val="000000"/>
      <w:sz w:val="18"/>
      <w:lang w:eastAsia="de-DE" w:bidi="en-US"/>
    </w:rPr>
  </w:style>
  <w:style w:type="paragraph" w:customStyle="1" w:styleId="MDPI41tablecaption">
    <w:name w:val="MDPI_4.1_table_caption"/>
    <w:basedOn w:val="MDPI62Acknowledgments"/>
    <w:qFormat/>
    <w:rsid w:val="006E06CC"/>
    <w:pPr>
      <w:spacing w:before="240" w:after="120" w:line="260" w:lineRule="atLeast"/>
      <w:ind w:left="425" w:right="425"/>
    </w:pPr>
    <w:rPr>
      <w:snapToGrid/>
      <w:szCs w:val="22"/>
    </w:rPr>
  </w:style>
  <w:style w:type="paragraph" w:customStyle="1" w:styleId="MDPI42tablebody">
    <w:name w:val="MDPI_4.2_table_body"/>
    <w:qFormat/>
    <w:rsid w:val="00E844F4"/>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basedOn w:val="MDPI41tablecaption"/>
    <w:next w:val="MDPI31text"/>
    <w:qFormat/>
    <w:rsid w:val="006E06CC"/>
    <w:pPr>
      <w:spacing w:before="0"/>
      <w:ind w:left="0" w:right="0"/>
    </w:pPr>
  </w:style>
  <w:style w:type="paragraph" w:customStyle="1" w:styleId="MDPI51figurecaption">
    <w:name w:val="MDPI_5.1_figure_caption"/>
    <w:basedOn w:val="MDPI62Acknowledgments"/>
    <w:qFormat/>
    <w:rsid w:val="006E06CC"/>
    <w:pPr>
      <w:spacing w:after="240" w:line="260" w:lineRule="atLeast"/>
      <w:ind w:left="425" w:right="425"/>
    </w:pPr>
    <w:rPr>
      <w:snapToGrid/>
    </w:rPr>
  </w:style>
  <w:style w:type="paragraph" w:customStyle="1" w:styleId="MDPI52figure">
    <w:name w:val="MDPI_5.2_figure"/>
    <w:qFormat/>
    <w:rsid w:val="006E06CC"/>
    <w:pPr>
      <w:jc w:val="center"/>
    </w:pPr>
    <w:rPr>
      <w:rFonts w:ascii="Palatino Linotype" w:eastAsia="Times New Roman" w:hAnsi="Palatino Linotype"/>
      <w:snapToGrid w:val="0"/>
      <w:color w:val="000000"/>
      <w:sz w:val="24"/>
      <w:lang w:eastAsia="de-DE" w:bidi="en-US"/>
    </w:rPr>
  </w:style>
  <w:style w:type="paragraph" w:customStyle="1" w:styleId="MDPI61Supplementary">
    <w:name w:val="MDPI_6.1_Supplementary"/>
    <w:basedOn w:val="MDPI62Acknowledgments"/>
    <w:qFormat/>
    <w:rsid w:val="006E06CC"/>
    <w:pPr>
      <w:spacing w:before="240"/>
    </w:pPr>
    <w:rPr>
      <w:lang w:eastAsia="en-US"/>
    </w:rPr>
  </w:style>
  <w:style w:type="paragraph" w:customStyle="1" w:styleId="MDPI63AuthorContributions">
    <w:name w:val="MDPI_6.3_AuthorContributions"/>
    <w:basedOn w:val="MDPI62Acknowledgments"/>
    <w:qFormat/>
    <w:rsid w:val="006E06CC"/>
    <w:rPr>
      <w:rFonts w:eastAsia="SimSun"/>
      <w:color w:val="auto"/>
      <w:lang w:eastAsia="en-US"/>
    </w:rPr>
  </w:style>
  <w:style w:type="paragraph" w:customStyle="1" w:styleId="MDPI64CoI">
    <w:name w:val="MDPI_6.4_CoI"/>
    <w:basedOn w:val="MDPI62Acknowledgments"/>
    <w:qFormat/>
    <w:rsid w:val="006E06CC"/>
  </w:style>
  <w:style w:type="paragraph" w:customStyle="1" w:styleId="MDPI31text">
    <w:name w:val="MDPI_3.1_text"/>
    <w:qFormat/>
    <w:rsid w:val="006E06CC"/>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basedOn w:val="MDPI31text"/>
    <w:qFormat/>
    <w:rsid w:val="006E06CC"/>
    <w:pPr>
      <w:spacing w:before="240" w:after="120"/>
      <w:ind w:firstLine="0"/>
      <w:jc w:val="left"/>
      <w:outlineLvl w:val="2"/>
    </w:pPr>
  </w:style>
  <w:style w:type="paragraph" w:customStyle="1" w:styleId="MDPI21heading1">
    <w:name w:val="MDPI_2.1_heading1"/>
    <w:basedOn w:val="MDPI23heading3"/>
    <w:qFormat/>
    <w:rsid w:val="006E06CC"/>
    <w:pPr>
      <w:outlineLvl w:val="0"/>
    </w:pPr>
    <w:rPr>
      <w:b/>
    </w:rPr>
  </w:style>
  <w:style w:type="paragraph" w:customStyle="1" w:styleId="MDPI22heading2">
    <w:name w:val="MDPI_2.2_heading2"/>
    <w:basedOn w:val="Normal"/>
    <w:qFormat/>
    <w:rsid w:val="006E06CC"/>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link w:val="MDPI71ReferencesChar"/>
    <w:qFormat/>
    <w:rsid w:val="006E06CC"/>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6E06CC"/>
    <w:pPr>
      <w:spacing w:line="240" w:lineRule="auto"/>
    </w:pPr>
    <w:rPr>
      <w:sz w:val="18"/>
      <w:szCs w:val="18"/>
    </w:rPr>
  </w:style>
  <w:style w:type="character" w:customStyle="1" w:styleId="BalloonTextChar">
    <w:name w:val="Balloon Text Char"/>
    <w:link w:val="BalloonText"/>
    <w:uiPriority w:val="99"/>
    <w:semiHidden/>
    <w:rsid w:val="006E06CC"/>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6E06CC"/>
  </w:style>
  <w:style w:type="table" w:customStyle="1" w:styleId="MDPI41threelinetable">
    <w:name w:val="MDPI_4.1_three_line_table"/>
    <w:basedOn w:val="TableNormal"/>
    <w:uiPriority w:val="99"/>
    <w:rsid w:val="00E844F4"/>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styleId="Hyperlink">
    <w:name w:val="Hyperlink"/>
    <w:uiPriority w:val="99"/>
    <w:unhideWhenUsed/>
    <w:rsid w:val="002D6B37"/>
    <w:rPr>
      <w:color w:val="0563C1"/>
      <w:u w:val="single"/>
    </w:rPr>
  </w:style>
  <w:style w:type="character" w:styleId="UnresolvedMention">
    <w:name w:val="Unresolved Mention"/>
    <w:uiPriority w:val="99"/>
    <w:semiHidden/>
    <w:unhideWhenUsed/>
    <w:rsid w:val="00393997"/>
    <w:rPr>
      <w:color w:val="605E5C"/>
      <w:shd w:val="clear" w:color="auto" w:fill="E1DFDD"/>
    </w:rPr>
  </w:style>
  <w:style w:type="table" w:styleId="PlainTable4">
    <w:name w:val="Plain Table 4"/>
    <w:basedOn w:val="TableNormal"/>
    <w:uiPriority w:val="44"/>
    <w:rsid w:val="00C169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EndNoteBibliographyTitle">
    <w:name w:val="EndNote Bibliography Title"/>
    <w:basedOn w:val="Normal"/>
    <w:link w:val="EndNoteBibliographyTitleChar"/>
    <w:rsid w:val="00FF5DE6"/>
    <w:pPr>
      <w:jc w:val="center"/>
    </w:pPr>
    <w:rPr>
      <w:rFonts w:ascii="Palatino Linotype" w:hAnsi="Palatino Linotype"/>
      <w:sz w:val="18"/>
      <w:lang w:val="de-DE"/>
    </w:rPr>
  </w:style>
  <w:style w:type="character" w:customStyle="1" w:styleId="MDPI62AcknowledgmentsChar">
    <w:name w:val="MDPI_6.2_Acknowledgments Char"/>
    <w:link w:val="MDPI62Acknowledgments"/>
    <w:rsid w:val="00FF5DE6"/>
    <w:rPr>
      <w:rFonts w:ascii="Palatino Linotype" w:eastAsia="Times New Roman" w:hAnsi="Palatino Linotype"/>
      <w:snapToGrid w:val="0"/>
      <w:color w:val="000000"/>
      <w:sz w:val="18"/>
      <w:lang w:eastAsia="de-DE" w:bidi="en-US"/>
    </w:rPr>
  </w:style>
  <w:style w:type="character" w:customStyle="1" w:styleId="MDPI71ReferencesChar">
    <w:name w:val="MDPI_7.1_References Char"/>
    <w:link w:val="MDPI71References"/>
    <w:rsid w:val="00FF5DE6"/>
    <w:rPr>
      <w:rFonts w:ascii="Palatino Linotype" w:eastAsia="Times New Roman" w:hAnsi="Palatino Linotype"/>
      <w:snapToGrid w:val="0"/>
      <w:color w:val="000000"/>
      <w:sz w:val="18"/>
      <w:lang w:eastAsia="de-DE" w:bidi="en-US"/>
    </w:rPr>
  </w:style>
  <w:style w:type="character" w:customStyle="1" w:styleId="EndNoteBibliographyTitleChar">
    <w:name w:val="EndNote Bibliography Title Char"/>
    <w:link w:val="EndNoteBibliographyTitle"/>
    <w:rsid w:val="00FF5DE6"/>
    <w:rPr>
      <w:rFonts w:ascii="Palatino Linotype" w:eastAsia="Times New Roman" w:hAnsi="Palatino Linotype"/>
      <w:color w:val="000000"/>
      <w:sz w:val="18"/>
      <w:lang w:val="de-DE" w:eastAsia="de-DE"/>
    </w:rPr>
  </w:style>
  <w:style w:type="paragraph" w:customStyle="1" w:styleId="EndNoteBibliography">
    <w:name w:val="EndNote Bibliography"/>
    <w:basedOn w:val="Normal"/>
    <w:link w:val="EndNoteBibliographyChar"/>
    <w:rsid w:val="00FF5DE6"/>
    <w:pPr>
      <w:spacing w:line="240" w:lineRule="atLeast"/>
    </w:pPr>
    <w:rPr>
      <w:rFonts w:ascii="Palatino Linotype" w:hAnsi="Palatino Linotype"/>
      <w:sz w:val="18"/>
      <w:lang w:val="de-DE"/>
    </w:rPr>
  </w:style>
  <w:style w:type="character" w:customStyle="1" w:styleId="EndNoteBibliographyChar">
    <w:name w:val="EndNote Bibliography Char"/>
    <w:link w:val="EndNoteBibliography"/>
    <w:rsid w:val="00FF5DE6"/>
    <w:rPr>
      <w:rFonts w:ascii="Palatino Linotype" w:eastAsia="Times New Roman" w:hAnsi="Palatino Linotype"/>
      <w:color w:val="000000"/>
      <w:sz w:val="18"/>
      <w:lang w:val="de-DE" w:eastAsia="de-DE"/>
    </w:rPr>
  </w:style>
  <w:style w:type="character" w:styleId="CommentReference">
    <w:name w:val="annotation reference"/>
    <w:uiPriority w:val="99"/>
    <w:semiHidden/>
    <w:unhideWhenUsed/>
    <w:rsid w:val="008961F6"/>
    <w:rPr>
      <w:sz w:val="16"/>
      <w:szCs w:val="16"/>
    </w:rPr>
  </w:style>
  <w:style w:type="paragraph" w:styleId="CommentText">
    <w:name w:val="annotation text"/>
    <w:basedOn w:val="Normal"/>
    <w:link w:val="CommentTextChar"/>
    <w:uiPriority w:val="99"/>
    <w:semiHidden/>
    <w:unhideWhenUsed/>
    <w:rsid w:val="008961F6"/>
    <w:rPr>
      <w:sz w:val="20"/>
    </w:rPr>
  </w:style>
  <w:style w:type="character" w:customStyle="1" w:styleId="CommentTextChar">
    <w:name w:val="Comment Text Char"/>
    <w:link w:val="CommentText"/>
    <w:uiPriority w:val="99"/>
    <w:semiHidden/>
    <w:rsid w:val="008961F6"/>
    <w:rPr>
      <w:rFonts w:ascii="Times New Roman" w:eastAsia="Times New Roman" w:hAnsi="Times New Roman"/>
      <w:color w:val="000000"/>
      <w:lang w:eastAsia="de-DE"/>
    </w:rPr>
  </w:style>
  <w:style w:type="paragraph" w:styleId="CommentSubject">
    <w:name w:val="annotation subject"/>
    <w:basedOn w:val="CommentText"/>
    <w:next w:val="CommentText"/>
    <w:link w:val="CommentSubjectChar"/>
    <w:uiPriority w:val="99"/>
    <w:semiHidden/>
    <w:unhideWhenUsed/>
    <w:rsid w:val="008961F6"/>
    <w:rPr>
      <w:b/>
      <w:bCs/>
    </w:rPr>
  </w:style>
  <w:style w:type="character" w:customStyle="1" w:styleId="CommentSubjectChar">
    <w:name w:val="Comment Subject Char"/>
    <w:link w:val="CommentSubject"/>
    <w:uiPriority w:val="99"/>
    <w:semiHidden/>
    <w:rsid w:val="008961F6"/>
    <w:rPr>
      <w:rFonts w:ascii="Times New Roman" w:eastAsia="Times New Roman" w:hAnsi="Times New Roman"/>
      <w:b/>
      <w:bCs/>
      <w:color w:val="00000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821060">
      <w:bodyDiv w:val="1"/>
      <w:marLeft w:val="0"/>
      <w:marRight w:val="0"/>
      <w:marTop w:val="0"/>
      <w:marBottom w:val="0"/>
      <w:divBdr>
        <w:top w:val="none" w:sz="0" w:space="0" w:color="auto"/>
        <w:left w:val="none" w:sz="0" w:space="0" w:color="auto"/>
        <w:bottom w:val="none" w:sz="0" w:space="0" w:color="auto"/>
        <w:right w:val="none" w:sz="0" w:space="0" w:color="auto"/>
      </w:divBdr>
    </w:div>
    <w:div w:id="1648389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16/S0168-9525(00)02139-9"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emf"/><Relationship Id="rId12" Type="http://schemas.openxmlformats.org/officeDocument/2006/relationships/hyperlink" Target="https://doi.org/10.1006/jtbi.1999.1052"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6/jmbi.1998.1752"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 TargetMode="External"/><Relationship Id="rId23" Type="http://schemas.microsoft.com/office/2011/relationships/people" Target="people.xml"/><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mesquiteproject" TargetMode="Externa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blackmon/Downloads/gene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genes-template.dot</Template>
  <TotalTime>3</TotalTime>
  <Pages>16</Pages>
  <Words>17757</Words>
  <Characters>101218</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118738</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2020-08-11T19:36:00Z</cp:lastPrinted>
  <dcterms:created xsi:type="dcterms:W3CDTF">2020-08-11T19:36:00Z</dcterms:created>
  <dcterms:modified xsi:type="dcterms:W3CDTF">2020-08-13T23:48:00Z</dcterms:modified>
</cp:coreProperties>
</file>