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Title:</w:t>
      </w:r>
      <w:r w:rsidDel="00000000" w:rsidR="00000000" w:rsidRPr="00000000">
        <w:rPr>
          <w:rFonts w:ascii="Cambria" w:cs="Cambria" w:eastAsia="Cambria" w:hAnsi="Cambria"/>
          <w:i w:val="1"/>
          <w:sz w:val="24"/>
          <w:szCs w:val="24"/>
          <w:rtl w:val="0"/>
        </w:rPr>
        <w:t xml:space="preserve"> </w:t>
      </w:r>
      <w:r w:rsidDel="00000000" w:rsidR="00000000" w:rsidRPr="00000000">
        <w:rPr>
          <w:rFonts w:ascii="Cambria" w:cs="Cambria" w:eastAsia="Cambria" w:hAnsi="Cambria"/>
          <w:sz w:val="24"/>
          <w:szCs w:val="24"/>
          <w:rtl w:val="0"/>
        </w:rPr>
        <w:t xml:space="preserve">The Paucity of PAR Sizes Limits our Ability to Elucidate Sex Chromosome Evolution Across the Tree of Life</w:t>
      </w:r>
    </w:p>
    <w:p w:rsidR="00000000" w:rsidDel="00000000" w:rsidP="00000000" w:rsidRDefault="00000000" w:rsidRPr="00000000" w14:paraId="0000000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Running title:</w:t>
      </w:r>
      <w:r w:rsidDel="00000000" w:rsidR="00000000" w:rsidRPr="00000000">
        <w:rPr>
          <w:rFonts w:ascii="Cambria" w:cs="Cambria" w:eastAsia="Cambria" w:hAnsi="Cambria"/>
          <w:sz w:val="24"/>
          <w:szCs w:val="24"/>
          <w:rtl w:val="0"/>
        </w:rPr>
        <w:t xml:space="preserve"> PAR</w:t>
      </w:r>
    </w:p>
    <w:p w:rsidR="00000000" w:rsidDel="00000000" w:rsidP="00000000" w:rsidRDefault="00000000" w:rsidRPr="00000000" w14:paraId="0000000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Keywords: </w:t>
      </w:r>
      <w:r w:rsidDel="00000000" w:rsidR="00000000" w:rsidRPr="00000000">
        <w:rPr>
          <w:rFonts w:ascii="Cambria" w:cs="Cambria" w:eastAsia="Cambria" w:hAnsi="Cambria"/>
          <w:sz w:val="24"/>
          <w:szCs w:val="24"/>
          <w:rtl w:val="0"/>
        </w:rPr>
        <w:t xml:space="preserve">pseudoautosomal region</w:t>
      </w:r>
      <w:r w:rsidDel="00000000" w:rsidR="00000000" w:rsidRPr="00000000">
        <w:rPr>
          <w:rFonts w:ascii="Cambria" w:cs="Cambria" w:eastAsia="Cambria" w:hAnsi="Cambria"/>
          <w:sz w:val="24"/>
          <w:szCs w:val="24"/>
          <w:rtl w:val="0"/>
        </w:rPr>
        <w:t xml:space="preserve">, sex chromosome evolution, Mammalia</w:t>
      </w:r>
    </w:p>
    <w:p w:rsidR="00000000" w:rsidDel="00000000" w:rsidP="00000000" w:rsidRDefault="00000000" w:rsidRPr="00000000" w14:paraId="0000000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Authors:</w:t>
      </w:r>
      <w:r w:rsidDel="00000000" w:rsidR="00000000" w:rsidRPr="00000000">
        <w:rPr>
          <w:rFonts w:ascii="Cambria" w:cs="Cambria" w:eastAsia="Cambria" w:hAnsi="Cambria"/>
          <w:sz w:val="24"/>
          <w:szCs w:val="24"/>
          <w:rtl w:val="0"/>
        </w:rPr>
        <w:t xml:space="preserve"> Megan Copeland</w:t>
      </w:r>
      <w:r w:rsidDel="00000000" w:rsidR="00000000" w:rsidRPr="00000000">
        <w:rPr>
          <w:rFonts w:ascii="Cambria" w:cs="Cambria" w:eastAsia="Cambria" w:hAnsi="Cambria"/>
          <w:sz w:val="24"/>
          <w:szCs w:val="24"/>
          <w:vertAlign w:val="superscript"/>
          <w:rtl w:val="0"/>
        </w:rPr>
        <w:t xml:space="preserve">1</w:t>
      </w:r>
      <w:r w:rsidDel="00000000" w:rsidR="00000000" w:rsidRPr="00000000">
        <w:rPr>
          <w:rFonts w:ascii="Cambria" w:cs="Cambria" w:eastAsia="Cambria" w:hAnsi="Cambria"/>
          <w:sz w:val="24"/>
          <w:szCs w:val="24"/>
          <w:rtl w:val="0"/>
        </w:rPr>
        <w:t xml:space="preserve"> - Author order highly unknown </w:t>
      </w: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Michelle M. Jonika</w:t>
      </w:r>
      <w:r w:rsidDel="00000000" w:rsidR="00000000" w:rsidRPr="00000000">
        <w:rPr>
          <w:rFonts w:ascii="Cambria" w:cs="Cambria" w:eastAsia="Cambria" w:hAnsi="Cambria"/>
          <w:sz w:val="24"/>
          <w:szCs w:val="24"/>
          <w:vertAlign w:val="superscript"/>
          <w:rtl w:val="0"/>
        </w:rPr>
        <w:t xml:space="preserve">1</w:t>
      </w:r>
      <w:r w:rsidDel="00000000" w:rsidR="00000000" w:rsidRPr="00000000">
        <w:rPr>
          <w:rFonts w:ascii="Cambria" w:cs="Cambria" w:eastAsia="Cambria" w:hAnsi="Cambria"/>
          <w:sz w:val="24"/>
          <w:szCs w:val="24"/>
          <w:rtl w:val="0"/>
        </w:rPr>
        <w:t xml:space="preserve"> and Heath Blackmon</w:t>
      </w:r>
      <w:r w:rsidDel="00000000" w:rsidR="00000000" w:rsidRPr="00000000">
        <w:rPr>
          <w:rFonts w:ascii="Cambria" w:cs="Cambria" w:eastAsia="Cambria" w:hAnsi="Cambria"/>
          <w:sz w:val="24"/>
          <w:szCs w:val="24"/>
          <w:vertAlign w:val="superscript"/>
          <w:rtl w:val="0"/>
        </w:rPr>
        <w:t xml:space="preserve">1</w:t>
      </w: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vertAlign w:val="superscript"/>
          <w:rtl w:val="0"/>
        </w:rPr>
        <w:t xml:space="preserve">1</w:t>
      </w:r>
      <w:r w:rsidDel="00000000" w:rsidR="00000000" w:rsidRPr="00000000">
        <w:rPr>
          <w:rFonts w:ascii="Cambria" w:cs="Cambria" w:eastAsia="Cambria" w:hAnsi="Cambria"/>
          <w:i w:val="1"/>
          <w:sz w:val="24"/>
          <w:szCs w:val="24"/>
          <w:rtl w:val="0"/>
        </w:rPr>
        <w:t xml:space="preserve">Department of Biology, Texas A&amp;M University, College Station, TX 77843 USA</w:t>
      </w:r>
    </w:p>
    <w:p w:rsidR="00000000" w:rsidDel="00000000" w:rsidP="00000000" w:rsidRDefault="00000000" w:rsidRPr="00000000" w14:paraId="0000000B">
      <w:pPr>
        <w:spacing w:line="240" w:lineRule="auto"/>
        <w:rPr>
          <w:rFonts w:ascii="Cambria" w:cs="Cambria" w:eastAsia="Cambria" w:hAnsi="Cambria"/>
          <w:i w:val="1"/>
          <w:sz w:val="24"/>
          <w:szCs w:val="24"/>
          <w:vertAlign w:val="superscript"/>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Corresponding Author: </w:t>
      </w:r>
    </w:p>
    <w:p w:rsidR="00000000" w:rsidDel="00000000" w:rsidP="00000000" w:rsidRDefault="00000000" w:rsidRPr="00000000" w14:paraId="0000000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Heath Blackmon</w:t>
      </w:r>
    </w:p>
    <w:p w:rsidR="00000000" w:rsidDel="00000000" w:rsidP="00000000" w:rsidRDefault="00000000" w:rsidRPr="00000000" w14:paraId="0000000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3258 TAMU</w:t>
      </w:r>
    </w:p>
    <w:p w:rsidR="00000000" w:rsidDel="00000000" w:rsidP="00000000" w:rsidRDefault="00000000" w:rsidRPr="00000000" w14:paraId="0000000F">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Department of Biology</w:t>
      </w:r>
    </w:p>
    <w:p w:rsidR="00000000" w:rsidDel="00000000" w:rsidP="00000000" w:rsidRDefault="00000000" w:rsidRPr="00000000" w14:paraId="00000010">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Texas A&amp;M University </w:t>
      </w:r>
    </w:p>
    <w:p w:rsidR="00000000" w:rsidDel="00000000" w:rsidP="00000000" w:rsidRDefault="00000000" w:rsidRPr="00000000" w14:paraId="00000011">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College Station, TX 77843 USA</w:t>
      </w:r>
    </w:p>
    <w:p w:rsidR="00000000" w:rsidDel="00000000" w:rsidP="00000000" w:rsidRDefault="00000000" w:rsidRPr="00000000" w14:paraId="0000001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coleoguy@gmail.com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fenv4ud0c8hs" w:id="0"/>
      <w:bookmarkEnd w:id="0"/>
      <w:r w:rsidDel="00000000" w:rsidR="00000000" w:rsidRPr="00000000">
        <w:rPr>
          <w:rtl w:val="0"/>
        </w:rPr>
        <w:t xml:space="preserve">ABSTRACT</w:t>
      </w:r>
    </w:p>
    <w:p w:rsidR="00000000" w:rsidDel="00000000" w:rsidP="00000000" w:rsidRDefault="00000000" w:rsidRPr="00000000" w14:paraId="00000030">
      <w:pPr>
        <w:rPr/>
      </w:pPr>
      <w:r w:rsidDel="00000000" w:rsidR="00000000" w:rsidRPr="00000000">
        <w:rPr>
          <w:rtl w:val="0"/>
        </w:rPr>
        <w:t xml:space="preserve">Lorem ipsum blah blah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3ns2jrp9tum" w:id="1"/>
      <w:bookmarkEnd w:id="1"/>
      <w:r w:rsidDel="00000000" w:rsidR="00000000" w:rsidRPr="00000000">
        <w:rPr>
          <w:rtl w:val="0"/>
        </w:rPr>
        <w:t xml:space="preserve">INTRODUCTION</w:t>
      </w:r>
    </w:p>
    <w:p w:rsidR="00000000" w:rsidDel="00000000" w:rsidP="00000000" w:rsidRDefault="00000000" w:rsidRPr="00000000" w14:paraId="00000033">
      <w:pPr>
        <w:rPr/>
      </w:pPr>
      <w:r w:rsidDel="00000000" w:rsidR="00000000" w:rsidRPr="00000000">
        <w:rPr>
          <w:rtl w:val="0"/>
        </w:rPr>
        <w:t xml:space="preserve">Lorem ipsum blah blah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7ixziwnp0fxb" w:id="2"/>
      <w:bookmarkEnd w:id="2"/>
      <w:r w:rsidDel="00000000" w:rsidR="00000000" w:rsidRPr="00000000">
        <w:rPr>
          <w:rtl w:val="0"/>
        </w:rPr>
        <w:t xml:space="preserve">METHODS</w:t>
      </w:r>
    </w:p>
    <w:p w:rsidR="00000000" w:rsidDel="00000000" w:rsidP="00000000" w:rsidRDefault="00000000" w:rsidRPr="00000000" w14:paraId="00000036">
      <w:pPr>
        <w:rPr/>
      </w:pPr>
      <w:r w:rsidDel="00000000" w:rsidR="00000000" w:rsidRPr="00000000">
        <w:rPr>
          <w:rtl w:val="0"/>
        </w:rPr>
        <w:t xml:space="preserve">Data</w:t>
      </w:r>
    </w:p>
    <w:p w:rsidR="00000000" w:rsidDel="00000000" w:rsidP="00000000" w:rsidRDefault="00000000" w:rsidRPr="00000000" w14:paraId="00000037">
      <w:pPr>
        <w:rPr/>
      </w:pPr>
      <w:r w:rsidDel="00000000" w:rsidR="00000000" w:rsidRPr="00000000">
        <w:rPr>
          <w:rtl w:val="0"/>
        </w:rPr>
        <w:t xml:space="preserve">The first step in our pipeline is to download reads from NCBI’s short read archive (SRA) database. Six criteria were used to select reads: (i) to be a DNA sample, (ii) to be paired-end reads, (iii) to be Illumina reads, (iv) to use the genome strategy, (v) to be of the taxon being searched for, and (vi) to be male reads. Once all of these criteria were met, a sample for each species could be selected. Short reads associated with a sample matching all of these criteria were downloaded with the fastq-dump tool from SRAToolkit v. 2.10.9 on the Texas A&amp;M HPRC Grace Cluster. Raw FASTQ sequences from SRA were then trimmed using Trimmomatic v0.39 to remove adapter sequences and low-quality base calls. Our trimming scanned the reads with a 4-base wide sliding window and removed reads when the average quality per base dropped below 20. Additionally, we removed any reads shorter than 25 base pairs. Next, we use Parabricks v.4.0.0 to map and call variants.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hslzatviksul" w:id="3"/>
      <w:bookmarkEnd w:id="3"/>
      <w:r w:rsidDel="00000000" w:rsidR="00000000" w:rsidRPr="00000000">
        <w:rPr>
          <w:rtl w:val="0"/>
        </w:rPr>
        <w:t xml:space="preserve">RESULTS</w:t>
      </w:r>
    </w:p>
    <w:p w:rsidR="00000000" w:rsidDel="00000000" w:rsidP="00000000" w:rsidRDefault="00000000" w:rsidRPr="00000000" w14:paraId="0000003B">
      <w:pPr>
        <w:rPr/>
      </w:pPr>
      <w:r w:rsidDel="00000000" w:rsidR="00000000" w:rsidRPr="00000000">
        <w:rPr>
          <w:rtl w:val="0"/>
        </w:rPr>
        <w:t xml:space="preserve">Lorem ipsum blah blah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cj2uvkdi7eos" w:id="4"/>
      <w:bookmarkEnd w:id="4"/>
      <w:r w:rsidDel="00000000" w:rsidR="00000000" w:rsidRPr="00000000">
        <w:rPr>
          <w:rtl w:val="0"/>
        </w:rPr>
        <w:t xml:space="preserve">DISCUSSION</w:t>
      </w:r>
    </w:p>
    <w:p w:rsidR="00000000" w:rsidDel="00000000" w:rsidP="00000000" w:rsidRDefault="00000000" w:rsidRPr="00000000" w14:paraId="0000003E">
      <w:pPr>
        <w:rPr/>
      </w:pPr>
      <w:r w:rsidDel="00000000" w:rsidR="00000000" w:rsidRPr="00000000">
        <w:rPr>
          <w:rtl w:val="0"/>
        </w:rPr>
        <w:t xml:space="preserve">Lorem ipsum blah blah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Lorem ipsum blah blah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p1w524xfeibg" w:id="5"/>
      <w:bookmarkEnd w:id="5"/>
      <w:r w:rsidDel="00000000" w:rsidR="00000000" w:rsidRPr="00000000">
        <w:rPr>
          <w:rtl w:val="0"/>
        </w:rPr>
        <w:t xml:space="preserve">CONCLUSION</w:t>
      </w:r>
    </w:p>
    <w:p w:rsidR="00000000" w:rsidDel="00000000" w:rsidP="00000000" w:rsidRDefault="00000000" w:rsidRPr="00000000" w14:paraId="00000043">
      <w:pPr>
        <w:rPr/>
      </w:pPr>
      <w:r w:rsidDel="00000000" w:rsidR="00000000" w:rsidRPr="00000000">
        <w:rPr>
          <w:rtl w:val="0"/>
        </w:rPr>
        <w:t xml:space="preserve">Lorem ipsum blah blah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