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F5707" w:rsidR="00CE6EE8" w:rsidP="00CE6EE8" w:rsidRDefault="00CE6EE8" w14:paraId="6FD51CAF" w14:textId="77777777">
      <w:pPr>
        <w:pStyle w:val="Heading1"/>
        <w:rPr>
          <w:rFonts w:eastAsia="Times New Roman" w:cs="Times New Roman" w:asciiTheme="minorHAnsi" w:hAnsiTheme="minorHAnsi"/>
          <w:b/>
          <w:sz w:val="28"/>
          <w:szCs w:val="28"/>
        </w:rPr>
      </w:pPr>
      <w:r w:rsidRPr="00DF5707">
        <w:rPr>
          <w:rFonts w:eastAsia="Times New Roman" w:asciiTheme="minorHAnsi" w:hAnsiTheme="minorHAnsi"/>
          <w:b/>
          <w:sz w:val="28"/>
          <w:szCs w:val="28"/>
        </w:rPr>
        <w:t>Methods</w:t>
      </w:r>
    </w:p>
    <w:p w:rsidRPr="003C42D3" w:rsidR="00CE6EE8" w:rsidP="00CE6EE8" w:rsidRDefault="00CE6EE8" w14:paraId="5DBA64E0" w14:textId="77777777">
      <w:pPr>
        <w:pStyle w:val="Heading2"/>
        <w:rPr>
          <w:rFonts w:eastAsia="Times New Roman" w:cs="Times New Roman" w:asciiTheme="minorHAnsi" w:hAnsiTheme="minorHAnsi"/>
          <w:sz w:val="22"/>
          <w:szCs w:val="22"/>
        </w:rPr>
      </w:pPr>
      <w:r w:rsidRPr="003C42D3">
        <w:rPr>
          <w:rFonts w:eastAsia="Times New Roman" w:asciiTheme="minorHAnsi" w:hAnsiTheme="minorHAnsi"/>
          <w:sz w:val="22"/>
          <w:szCs w:val="22"/>
        </w:rPr>
        <w:t xml:space="preserve">Model </w:t>
      </w:r>
      <w:commentRangeStart w:id="0"/>
      <w:r w:rsidRPr="003C42D3">
        <w:rPr>
          <w:rFonts w:eastAsia="Times New Roman" w:asciiTheme="minorHAnsi" w:hAnsiTheme="minorHAnsi"/>
          <w:sz w:val="22"/>
          <w:szCs w:val="22"/>
        </w:rPr>
        <w:t>Description</w:t>
      </w:r>
      <w:commentRangeEnd w:id="0"/>
      <w:r>
        <w:rPr>
          <w:rStyle w:val="CommentReference"/>
          <w:rFonts w:asciiTheme="minorHAnsi" w:hAnsiTheme="minorHAnsi" w:eastAsiaTheme="minorHAnsi" w:cstheme="minorBidi"/>
          <w:color w:val="auto"/>
        </w:rPr>
        <w:commentReference w:id="0"/>
      </w:r>
    </w:p>
    <w:p w:rsidRPr="003C42D3" w:rsidR="00CE6EE8" w:rsidP="00CE6EE8" w:rsidRDefault="00CE6EE8" w14:paraId="52BCD697" w14:textId="77777777">
      <w:pPr>
        <w:rPr>
          <w:color w:val="000000"/>
          <w:sz w:val="22"/>
          <w:szCs w:val="22"/>
        </w:rPr>
      </w:pPr>
      <w:r w:rsidRPr="003C42D3">
        <w:rPr>
          <w:color w:val="000000"/>
          <w:sz w:val="22"/>
          <w:szCs w:val="22"/>
        </w:rPr>
        <w:t xml:space="preserve">We developed a forward time diploid two-locus biallelic model with non-overlapping generations and viability selection. The first locus is the sex determining region which is represented by an X and Y allele. Individuals homozygous for the X allele are females while heterozygous individuals are males. The second locus is Sexually Antagonistic </w:t>
      </w:r>
      <w:r>
        <w:rPr>
          <w:color w:val="000000"/>
          <w:sz w:val="22"/>
          <w:szCs w:val="22"/>
        </w:rPr>
        <w:fldChar w:fldCharType="begin">
          <w:fldData xml:space="preserve">PEVuZE5vdGU+PENpdGUgRXhjbHVkZVllYXI9IjEiPjxBdXRob3I+QnJhdGh3YWl0ZTwvQXV0aG9y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</w:fldData>
        </w:fldChar>
      </w:r>
      <w:r>
        <w:rPr>
          <w:color w:val="000000"/>
          <w:sz w:val="22"/>
          <w:szCs w:val="22"/>
        </w:rPr>
        <w:instrText xml:space="preserve"> ADDIN EN.CITE </w:instrText>
      </w:r>
      <w:r>
        <w:rPr>
          <w:color w:val="000000"/>
          <w:sz w:val="22"/>
          <w:szCs w:val="22"/>
        </w:rPr>
        <w:fldChar w:fldCharType="begin">
          <w:fldData xml:space="preserve">PEVuZE5vdGU+PENpdGUgRXhjbHVkZVllYXI9IjEiPjxBdXRob3I+QnJhdGh3YWl0ZTwvQXV0aG9y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</w:fldData>
        </w:fldChar>
      </w:r>
      <w:r>
        <w:rPr>
          <w:color w:val="000000"/>
          <w:sz w:val="22"/>
          <w:szCs w:val="22"/>
        </w:rPr>
        <w:instrText xml:space="preserve"> ADDIN EN.CITE.DATA </w:instrText>
      </w:r>
      <w:r>
        <w:rPr>
          <w:color w:val="000000"/>
          <w:sz w:val="22"/>
          <w:szCs w:val="22"/>
        </w:rPr>
      </w:r>
      <w:r>
        <w:rPr>
          <w:color w:val="000000"/>
          <w:sz w:val="22"/>
          <w:szCs w:val="22"/>
        </w:rPr>
        <w:fldChar w:fldCharType="end"/>
      </w:r>
      <w:r>
        <w:rPr>
          <w:color w:val="000000"/>
          <w:sz w:val="22"/>
          <w:szCs w:val="22"/>
        </w:rPr>
      </w:r>
      <w:r>
        <w:rPr>
          <w:color w:val="000000"/>
          <w:sz w:val="22"/>
          <w:szCs w:val="22"/>
        </w:rPr>
        <w:fldChar w:fldCharType="separate"/>
      </w:r>
      <w:r>
        <w:rPr>
          <w:noProof/>
          <w:color w:val="000000"/>
          <w:sz w:val="22"/>
          <w:szCs w:val="22"/>
        </w:rPr>
        <w:t>(</w:t>
      </w:r>
      <w:r w:rsidRPr="004E6F7C">
        <w:rPr>
          <w:smallCaps/>
          <w:noProof/>
          <w:color w:val="000000"/>
          <w:sz w:val="22"/>
          <w:szCs w:val="22"/>
        </w:rPr>
        <w:t>Brathwaite</w:t>
      </w:r>
      <w:r w:rsidRPr="004E6F7C">
        <w:rPr>
          <w:i/>
          <w:noProof/>
          <w:color w:val="000000"/>
          <w:sz w:val="22"/>
          <w:szCs w:val="22"/>
        </w:rPr>
        <w:t xml:space="preserve"> et al.</w:t>
      </w:r>
      <w:r>
        <w:rPr>
          <w:noProof/>
          <w:color w:val="000000"/>
          <w:sz w:val="22"/>
          <w:szCs w:val="22"/>
        </w:rPr>
        <w:t>)</w:t>
      </w:r>
      <w:r>
        <w:rPr>
          <w:color w:val="000000"/>
          <w:sz w:val="22"/>
          <w:szCs w:val="22"/>
        </w:rPr>
        <w:fldChar w:fldCharType="end"/>
      </w:r>
      <w:r w:rsidRPr="003C42D3">
        <w:rPr>
          <w:color w:val="000000"/>
          <w:sz w:val="22"/>
          <w:szCs w:val="22"/>
        </w:rPr>
        <w:t xml:space="preserve"> and has two alleles one is beneficial to females</w:t>
      </w:r>
      <w:r>
        <w:rPr>
          <w:color w:val="000000"/>
          <w:sz w:val="22"/>
          <w:szCs w:val="22"/>
        </w:rPr>
        <w:t xml:space="preserve"> (A</w:t>
      </w:r>
      <w:r w:rsidRPr="000D2F96">
        <w:rPr>
          <w:color w:val="000000"/>
          <w:sz w:val="22"/>
          <w:szCs w:val="22"/>
          <w:vertAlign w:val="subscript"/>
        </w:rPr>
        <w:t>1</w:t>
      </w:r>
      <w:r>
        <w:rPr>
          <w:color w:val="000000"/>
          <w:sz w:val="22"/>
          <w:szCs w:val="22"/>
        </w:rPr>
        <w:t>)</w:t>
      </w:r>
      <w:r w:rsidRPr="003C42D3">
        <w:rPr>
          <w:color w:val="000000"/>
          <w:sz w:val="22"/>
          <w:szCs w:val="22"/>
        </w:rPr>
        <w:t xml:space="preserve"> and one is beneficial to males</w:t>
      </w:r>
      <w:r>
        <w:rPr>
          <w:color w:val="000000"/>
          <w:sz w:val="22"/>
          <w:szCs w:val="22"/>
        </w:rPr>
        <w:t xml:space="preserve"> (A</w:t>
      </w:r>
      <w:r w:rsidRPr="000D2F96">
        <w:rPr>
          <w:color w:val="000000"/>
          <w:sz w:val="22"/>
          <w:szCs w:val="22"/>
          <w:vertAlign w:val="subscript"/>
        </w:rPr>
        <w:t>2</w:t>
      </w:r>
      <w:r>
        <w:rPr>
          <w:color w:val="000000"/>
          <w:sz w:val="22"/>
          <w:szCs w:val="22"/>
        </w:rPr>
        <w:t>)</w:t>
      </w:r>
      <w:r w:rsidRPr="003C42D3">
        <w:rPr>
          <w:color w:val="000000"/>
          <w:sz w:val="22"/>
          <w:szCs w:val="22"/>
        </w:rPr>
        <w:t>. Because females are homozygous at the sex determining locus we can ignore recombination in females. In males, recombination between the sex-determining locus and the SA locus occur as a function of the genetic distance (</w:t>
      </w:r>
      <w:r w:rsidRPr="003C42D3">
        <w:rPr>
          <w:i/>
          <w:color w:val="000000"/>
          <w:sz w:val="22"/>
          <w:szCs w:val="22"/>
        </w:rPr>
        <w:t>rd</w:t>
      </w:r>
      <w:r w:rsidRPr="003C42D3">
        <w:rPr>
          <w:color w:val="000000"/>
          <w:sz w:val="22"/>
          <w:szCs w:val="22"/>
        </w:rPr>
        <w:t xml:space="preserve">). When </w:t>
      </w:r>
      <w:r w:rsidRPr="003C42D3">
        <w:rPr>
          <w:i/>
          <w:color w:val="000000"/>
          <w:sz w:val="22"/>
          <w:szCs w:val="22"/>
        </w:rPr>
        <w:t xml:space="preserve">rd </w:t>
      </w:r>
      <w:r w:rsidRPr="003C42D3">
        <w:rPr>
          <w:color w:val="000000"/>
          <w:sz w:val="22"/>
          <w:szCs w:val="22"/>
        </w:rPr>
        <w:t>is less than 0.5 a</w:t>
      </w:r>
      <w:r>
        <w:rPr>
          <w:color w:val="000000"/>
          <w:sz w:val="22"/>
          <w:szCs w:val="22"/>
        </w:rPr>
        <w:t>n</w:t>
      </w:r>
      <w:r w:rsidRPr="003C42D3">
        <w:rPr>
          <w:color w:val="000000"/>
          <w:sz w:val="22"/>
          <w:szCs w:val="22"/>
        </w:rPr>
        <w:t xml:space="preserve"> SA locus in the recombining region of the sex chromosomes is simulated while and </w:t>
      </w:r>
      <w:r w:rsidRPr="003C42D3">
        <w:rPr>
          <w:i/>
          <w:color w:val="000000"/>
          <w:sz w:val="22"/>
          <w:szCs w:val="22"/>
        </w:rPr>
        <w:t xml:space="preserve">rd </w:t>
      </w:r>
      <w:r w:rsidRPr="003C42D3">
        <w:rPr>
          <w:color w:val="000000"/>
          <w:sz w:val="22"/>
          <w:szCs w:val="22"/>
        </w:rPr>
        <w:t xml:space="preserve">value of 0.5 leads to a simulation where the SA locus is on an autosome. </w:t>
      </w:r>
      <w:r>
        <w:rPr>
          <w:color w:val="000000"/>
          <w:sz w:val="22"/>
          <w:szCs w:val="22"/>
        </w:rPr>
        <w:t xml:space="preserve">When rd is set to 0.0 the model represents an SA locus in the non-recombining portion of the sex chromosomes. </w:t>
      </w:r>
      <w:r w:rsidRPr="003C42D3">
        <w:rPr>
          <w:color w:val="000000"/>
          <w:sz w:val="22"/>
          <w:szCs w:val="22"/>
        </w:rPr>
        <w:t>The fitness of an individual is a function of its sex and the genotype at the SA locus (</w:t>
      </w:r>
      <w:r w:rsidRPr="003C42D3">
        <w:rPr>
          <w:b/>
          <w:color w:val="000000"/>
          <w:sz w:val="22"/>
          <w:szCs w:val="22"/>
        </w:rPr>
        <w:t>table 1</w:t>
      </w:r>
      <w:r w:rsidRPr="003C42D3">
        <w:rPr>
          <w:color w:val="000000"/>
          <w:sz w:val="22"/>
          <w:szCs w:val="22"/>
        </w:rPr>
        <w:t>).</w:t>
      </w:r>
    </w:p>
    <w:p w:rsidRPr="003C42D3" w:rsidR="00CE6EE8" w:rsidP="00CE6EE8" w:rsidRDefault="00CE6EE8" w14:paraId="31814A4E" w14:textId="77777777">
      <w:pPr>
        <w:rPr>
          <w:color w:val="000000"/>
          <w:sz w:val="22"/>
          <w:szCs w:val="22"/>
        </w:rPr>
      </w:pPr>
      <w:r w:rsidRPr="003C42D3">
        <w:rPr>
          <w:color w:val="000000"/>
          <w:sz w:val="22"/>
          <w:szCs w:val="22"/>
        </w:rPr>
        <w:t xml:space="preserve"> </w:t>
      </w:r>
    </w:p>
    <w:p w:rsidR="00CE6EE8" w:rsidP="00CE6EE8" w:rsidRDefault="00CE6EE8" w14:paraId="480C57F2" w14:textId="77777777">
      <w:pPr>
        <w:rPr>
          <w:color w:val="000000"/>
          <w:sz w:val="22"/>
          <w:szCs w:val="22"/>
        </w:rPr>
      </w:pPr>
      <w:r w:rsidRPr="003C42D3">
        <w:rPr>
          <w:color w:val="000000"/>
          <w:sz w:val="22"/>
          <w:szCs w:val="22"/>
        </w:rPr>
        <w:t>Simulations were started with a selected number of males and females</w:t>
      </w:r>
      <w:r>
        <w:rPr>
          <w:color w:val="000000"/>
          <w:sz w:val="22"/>
          <w:szCs w:val="22"/>
        </w:rPr>
        <w:t>. One sex is chosen was the common sex</w:t>
      </w:r>
      <w:r w:rsidRPr="003C42D3">
        <w:rPr>
          <w:color w:val="000000"/>
          <w:sz w:val="22"/>
          <w:szCs w:val="22"/>
        </w:rPr>
        <w:t xml:space="preserve"> and </w:t>
      </w:r>
      <w:r>
        <w:rPr>
          <w:color w:val="000000"/>
          <w:sz w:val="22"/>
          <w:szCs w:val="22"/>
        </w:rPr>
        <w:t xml:space="preserve">the number of the rare sex was a function of the </w:t>
      </w:r>
      <m:oMath>
        <m:r>
          <w:rPr>
            <w:rFonts w:ascii="Cambria Math" w:hAnsi="Cambria Math"/>
            <w:color w:val="000000"/>
            <w:sz w:val="22"/>
            <w:szCs w:val="22"/>
          </w:rPr>
          <m:t>β</m:t>
        </m:r>
      </m:oMath>
      <w:r>
        <w:rPr>
          <w:color w:val="000000"/>
          <w:sz w:val="22"/>
          <w:szCs w:val="22"/>
        </w:rPr>
        <w:t xml:space="preserve"> parameter representing the level of operational sex ratio bias in the system. A</w:t>
      </w:r>
      <w:r w:rsidRPr="003C42D3">
        <w:rPr>
          <w:color w:val="000000"/>
          <w:sz w:val="22"/>
          <w:szCs w:val="22"/>
        </w:rPr>
        <w:t>n equal frequency of the two alleles at the SA locus. Alleles at the SA locus were assigned equally to X and Y chromosomes so that at the start of the simulation there is no linkage disequilibrium and allele frequency in males and females was equal.  In each cycle of the simulation fitness was assessed for all individuals. Based on their fitness females were drawn to contribute eggs to the gamete pool. In females since recombination can be ignored</w:t>
      </w:r>
      <w:r>
        <w:rPr>
          <w:color w:val="000000"/>
          <w:sz w:val="22"/>
          <w:szCs w:val="22"/>
        </w:rPr>
        <w:t>,</w:t>
      </w:r>
      <w:r w:rsidRPr="003C42D3">
        <w:rPr>
          <w:color w:val="000000"/>
          <w:sz w:val="22"/>
          <w:szCs w:val="22"/>
        </w:rPr>
        <w:t xml:space="preserve"> haplotypes for eggs were drawn at random from each selected female. In males, sperm haplotypes were drawn accounting for recombination between the sex-determining locus and the SA locus (double recombination events were not allowed in the model.) To reconstitute the next generation (including any bias </w:t>
      </w:r>
      <m:oMath>
        <m:r>
          <w:rPr>
            <w:rFonts w:ascii="Cambria Math" w:hAnsi="Cambria Math"/>
            <w:color w:val="000000"/>
            <w:sz w:val="22"/>
            <w:szCs w:val="22"/>
          </w:rPr>
          <m:t>β</m:t>
        </m:r>
      </m:oMath>
      <w:r w:rsidRPr="003C42D3">
        <w:rPr>
          <w:color w:val="000000"/>
          <w:sz w:val="22"/>
          <w:szCs w:val="22"/>
        </w:rPr>
        <w:t>in the number of males and females present) eggs were drawn at random and paired with randomly drawn sperm that contained either an X or Y allele at the sex-determining locus as appropriate for the number of offspring needed for each sex. This process was repeated until a specified number of generations was reached or until one of the alleles at the SA locus fixed in the population.</w:t>
      </w:r>
    </w:p>
    <w:p w:rsidR="00CE6EE8" w:rsidP="00CE6EE8" w:rsidRDefault="00CE6EE8" w14:paraId="1C96AEF1" w14:textId="77777777">
      <w:pPr>
        <w:rPr>
          <w:color w:val="000000"/>
          <w:sz w:val="22"/>
          <w:szCs w:val="22"/>
        </w:rPr>
      </w:pPr>
    </w:p>
    <w:p w:rsidR="00CE6EE8" w:rsidP="4856263D" w:rsidRDefault="00CE6EE8" w14:paraId="5BC206BA" w14:textId="77777777">
      <w:pPr>
        <w:rPr>
          <w:color w:val="000000"/>
          <w:sz w:val="22"/>
          <w:szCs w:val="22"/>
          <w:highlight w:val="red"/>
        </w:rPr>
      </w:pPr>
      <w:r w:rsidRPr="4856263D" w:rsidR="4856263D">
        <w:rPr>
          <w:color w:val="000000" w:themeColor="text1" w:themeTint="FF" w:themeShade="FF"/>
          <w:sz w:val="22"/>
          <w:szCs w:val="22"/>
          <w:highlight w:val="red"/>
        </w:rPr>
        <w:t>Haplodiploidy requires some modifications to this model. In this case we used a single locus biallelic model, where one of the alleles was male-beneficial, and the other was female-beneficial. Our simulations started with a given population with diploid genotypes for females and haploid genotypes for males. We then run a generation using our starting population with a selection coefficient of 0.5 and a dominance factor of 0.5. Each generation that is simulated goes through selection based on a fitness function, gamete production based on relative fitness, and fertilization of the next generation recapitulating the approach described above for a total of 500 generations and 1000 replications for each variation of the conditions we looked at.</w:t>
      </w:r>
    </w:p>
    <w:p w:rsidRPr="003C42D3" w:rsidR="00CE6EE8" w:rsidP="4856263D" w:rsidRDefault="00CE6EE8" w14:paraId="3D88E9BC" w14:textId="77777777">
      <w:pPr>
        <w:rPr>
          <w:color w:val="000000"/>
          <w:sz w:val="22"/>
          <w:szCs w:val="22"/>
          <w:highlight w:val="red"/>
        </w:rPr>
      </w:pPr>
    </w:p>
    <w:p w:rsidRPr="003C42D3" w:rsidR="00CE6EE8" w:rsidP="00CE6EE8" w:rsidRDefault="00CE6EE8" w14:paraId="487B94CF" w14:textId="77777777">
      <w:pPr>
        <w:pStyle w:val="Heading2"/>
        <w:rPr>
          <w:rFonts w:eastAsia="Times New Roman" w:cs="Times New Roman" w:asciiTheme="minorHAnsi" w:hAnsiTheme="minorHAnsi"/>
          <w:sz w:val="22"/>
          <w:szCs w:val="22"/>
        </w:rPr>
      </w:pPr>
      <w:r w:rsidRPr="003C42D3">
        <w:rPr>
          <w:rFonts w:eastAsia="Times New Roman" w:asciiTheme="minorHAnsi" w:hAnsiTheme="minorHAnsi"/>
          <w:sz w:val="22"/>
          <w:szCs w:val="22"/>
        </w:rPr>
        <w:t>Simulation Scenarios</w:t>
      </w:r>
    </w:p>
    <w:p w:rsidRPr="003C42D3" w:rsidR="00CE6EE8" w:rsidP="00CE6EE8" w:rsidRDefault="00CE6EE8" w14:paraId="480895ED" w14:textId="77777777">
      <w:pPr>
        <w:rPr>
          <w:sz w:val="22"/>
          <w:szCs w:val="22"/>
        </w:rPr>
      </w:pPr>
      <w:r w:rsidRPr="003C42D3">
        <w:rPr>
          <w:color w:val="000000"/>
          <w:sz w:val="22"/>
          <w:szCs w:val="22"/>
        </w:rPr>
        <w:t>In our simulation, we evaluated 56 different pairings of numbers of males and females. In each simulation the population was made up of 50, 100, 500, or 1000 individuals of the common sex.  For the second sex the number of individuals was the same as in the common sex or reduced by a factor of 0.8, 0.6, 0.4, 0.2, 0.1, or 0.05. Simulations with 50 of the common sex and an OSR of 0.05 would result in 2.5 individuals of the rare sex. For simulations with this pairing of parameters we used 3 individuals of the rare sex. These pairing</w:t>
      </w:r>
      <w:r>
        <w:rPr>
          <w:color w:val="000000"/>
          <w:sz w:val="22"/>
          <w:szCs w:val="22"/>
        </w:rPr>
        <w:t>s</w:t>
      </w:r>
      <w:r w:rsidRPr="003C42D3">
        <w:rPr>
          <w:color w:val="000000"/>
          <w:sz w:val="22"/>
          <w:szCs w:val="22"/>
        </w:rPr>
        <w:t xml:space="preserve"> were repeated with both males and females as the rarer sex. For each of these scenarios, we varied three other factors: recombina</w:t>
      </w:r>
      <w:r>
        <w:rPr>
          <w:color w:val="000000"/>
          <w:sz w:val="22"/>
          <w:szCs w:val="22"/>
        </w:rPr>
        <w:t>tion</w:t>
      </w:r>
      <w:r w:rsidRPr="003C42D3">
        <w:rPr>
          <w:color w:val="000000"/>
          <w:sz w:val="22"/>
          <w:szCs w:val="22"/>
        </w:rPr>
        <w:t xml:space="preserve"> distance </w:t>
      </w:r>
      <w:r w:rsidRPr="003C42D3">
        <w:rPr>
          <w:i/>
          <w:iCs/>
          <w:color w:val="000000"/>
          <w:sz w:val="22"/>
          <w:szCs w:val="22"/>
        </w:rPr>
        <w:t>rd</w:t>
      </w:r>
      <w:r w:rsidRPr="003C42D3">
        <w:rPr>
          <w:color w:val="000000"/>
          <w:sz w:val="22"/>
          <w:szCs w:val="22"/>
        </w:rPr>
        <w:t xml:space="preserve"> (0.1, 0.2, and 0.5), selection strength </w:t>
      </w:r>
      <w:r w:rsidRPr="003C42D3">
        <w:rPr>
          <w:i/>
          <w:iCs/>
          <w:color w:val="000000"/>
          <w:sz w:val="22"/>
          <w:szCs w:val="22"/>
        </w:rPr>
        <w:t>s</w:t>
      </w:r>
      <w:r w:rsidRPr="003C42D3">
        <w:rPr>
          <w:iCs/>
          <w:color w:val="000000"/>
          <w:sz w:val="22"/>
          <w:szCs w:val="22"/>
        </w:rPr>
        <w:t xml:space="preserve"> (</w:t>
      </w:r>
      <w:r w:rsidRPr="003C42D3">
        <w:rPr>
          <w:color w:val="000000"/>
          <w:sz w:val="22"/>
          <w:szCs w:val="22"/>
        </w:rPr>
        <w:t xml:space="preserve">0.1, 0.2, 0.5, and 0.9), and dominance </w:t>
      </w:r>
      <w:r w:rsidRPr="003C42D3">
        <w:rPr>
          <w:i/>
          <w:iCs/>
          <w:color w:val="000000"/>
          <w:sz w:val="22"/>
          <w:szCs w:val="22"/>
        </w:rPr>
        <w:t>h</w:t>
      </w:r>
      <w:r w:rsidRPr="003C42D3">
        <w:rPr>
          <w:iCs/>
          <w:color w:val="000000"/>
          <w:sz w:val="22"/>
          <w:szCs w:val="22"/>
        </w:rPr>
        <w:t xml:space="preserve"> (0.0, 0.5, 1.0).</w:t>
      </w:r>
      <w:r w:rsidRPr="003C42D3">
        <w:rPr>
          <w:color w:val="000000"/>
          <w:sz w:val="22"/>
          <w:szCs w:val="22"/>
        </w:rPr>
        <w:t xml:space="preserve">  We also evaluated the case for sex specific dominance in which an allele that benefits a sex is dominant in that sex. This condition requires a different fitness function rather than simply a different </w:t>
      </w:r>
      <w:r w:rsidRPr="003C42D3">
        <w:rPr>
          <w:i/>
          <w:color w:val="000000"/>
          <w:sz w:val="22"/>
          <w:szCs w:val="22"/>
        </w:rPr>
        <w:t>h</w:t>
      </w:r>
      <w:r w:rsidRPr="003C42D3">
        <w:rPr>
          <w:color w:val="000000"/>
          <w:sz w:val="22"/>
          <w:szCs w:val="22"/>
        </w:rPr>
        <w:t xml:space="preserve"> value (</w:t>
      </w:r>
      <w:r w:rsidRPr="003C42D3">
        <w:rPr>
          <w:b/>
          <w:color w:val="000000"/>
          <w:sz w:val="22"/>
          <w:szCs w:val="22"/>
        </w:rPr>
        <w:t>Table 1</w:t>
      </w:r>
      <w:r w:rsidRPr="003C42D3">
        <w:rPr>
          <w:color w:val="000000"/>
          <w:sz w:val="22"/>
          <w:szCs w:val="22"/>
        </w:rPr>
        <w:t xml:space="preserve">). Under each simulation scenario 1000 replicates </w:t>
      </w:r>
      <w:r w:rsidRPr="003C42D3">
        <w:rPr>
          <w:color w:val="000000"/>
          <w:sz w:val="22"/>
          <w:szCs w:val="22"/>
        </w:rPr>
        <w:lastRenderedPageBreak/>
        <w:t>were performed. This simulation design yielded a total of 2016 scenarios and over two million individual simulations.</w:t>
      </w:r>
    </w:p>
    <w:p w:rsidRPr="003C42D3" w:rsidR="00CE6EE8" w:rsidP="00CE6EE8" w:rsidRDefault="00CE6EE8" w14:paraId="0C6C7EF1" w14:textId="77777777">
      <w:pPr>
        <w:rPr>
          <w:sz w:val="22"/>
          <w:szCs w:val="22"/>
        </w:rPr>
      </w:pPr>
      <w:r w:rsidRPr="003C42D3">
        <w:rPr>
          <w:color w:val="000000"/>
          <w:sz w:val="22"/>
          <w:szCs w:val="22"/>
        </w:rPr>
        <w:t xml:space="preserve"> </w:t>
      </w:r>
    </w:p>
    <w:p w:rsidRPr="00EC4732" w:rsidR="00CE6EE8" w:rsidP="00CE6EE8" w:rsidRDefault="00CE6EE8" w14:paraId="394E8EDC" w14:textId="77777777">
      <w:pPr>
        <w:rPr>
          <w:color w:val="000000"/>
          <w:sz w:val="22"/>
          <w:szCs w:val="22"/>
        </w:rPr>
      </w:pPr>
    </w:p>
    <w:p w:rsidRPr="003C42D3" w:rsidR="00CE6EE8" w:rsidP="00CE6EE8" w:rsidRDefault="00CE6EE8" w14:paraId="15CB6750" w14:textId="77777777">
      <w:pPr>
        <w:rPr>
          <w:sz w:val="22"/>
          <w:szCs w:val="22"/>
        </w:rPr>
      </w:pPr>
    </w:p>
    <w:tbl>
      <w:tblPr>
        <w:tblW w:w="5924" w:type="dxa"/>
        <w:tblCellMar>
          <w:left w:w="0" w:type="dxa"/>
          <w:right w:w="0" w:type="dxa"/>
        </w:tblCellMar>
        <w:tblLook w:val="04A0" w:firstRow="1" w:lastRow="0" w:firstColumn="1" w:lastColumn="0" w:noHBand="0" w:noVBand="1"/>
      </w:tblPr>
      <w:tblGrid>
        <w:gridCol w:w="840"/>
        <w:gridCol w:w="837"/>
        <w:gridCol w:w="1134"/>
        <w:gridCol w:w="284"/>
        <w:gridCol w:w="1134"/>
        <w:gridCol w:w="1695"/>
      </w:tblGrid>
      <w:tr w:rsidRPr="003C42D3" w:rsidR="00CE6EE8" w:rsidTr="4856263D" w14:paraId="60212B6C" w14:textId="77777777">
        <w:tc>
          <w:tcPr>
            <w:tcW w:w="840" w:type="dxa"/>
            <w:tcBorders>
              <w:top w:val="single" w:color="auto" w:sz="4" w:space="0"/>
              <w:bottom w:val="single" w:color="auto" w:sz="4" w:space="0"/>
            </w:tcBorders>
            <w:tcMar>
              <w:top w:w="100" w:type="dxa"/>
              <w:left w:w="100" w:type="dxa"/>
              <w:bottom w:w="100" w:type="dxa"/>
              <w:right w:w="100" w:type="dxa"/>
            </w:tcMar>
            <w:hideMark/>
          </w:tcPr>
          <w:p w:rsidRPr="003C42D3" w:rsidR="00CE6EE8" w:rsidP="004512E2" w:rsidRDefault="00CE6EE8" w14:paraId="3747364A" w14:textId="77777777">
            <w:pPr>
              <w:rPr>
                <w:sz w:val="22"/>
                <w:szCs w:val="22"/>
              </w:rPr>
            </w:pPr>
            <w:r w:rsidRPr="003C42D3">
              <w:rPr>
                <w:color w:val="333333"/>
                <w:sz w:val="22"/>
                <w:szCs w:val="22"/>
              </w:rPr>
              <w:t xml:space="preserve"> </w:t>
            </w:r>
          </w:p>
        </w:tc>
        <w:tc>
          <w:tcPr>
            <w:tcW w:w="1971" w:type="dxa"/>
            <w:gridSpan w:val="2"/>
            <w:tcBorders>
              <w:top w:val="single" w:color="auto" w:sz="4" w:space="0"/>
              <w:bottom w:val="single" w:color="auto" w:sz="4" w:space="0"/>
            </w:tcBorders>
            <w:tcMar>
              <w:top w:w="100" w:type="dxa"/>
              <w:left w:w="100" w:type="dxa"/>
              <w:bottom w:w="100" w:type="dxa"/>
              <w:right w:w="100" w:type="dxa"/>
            </w:tcMar>
            <w:hideMark/>
          </w:tcPr>
          <w:p w:rsidRPr="003C42D3" w:rsidR="00CE6EE8" w:rsidP="004512E2" w:rsidRDefault="00CE6EE8" w14:paraId="41FA80A3" w14:textId="77777777">
            <w:pPr>
              <w:jc w:val="center"/>
              <w:rPr>
                <w:color w:val="333333"/>
                <w:sz w:val="22"/>
                <w:szCs w:val="22"/>
              </w:rPr>
            </w:pPr>
            <w:r w:rsidRPr="003C42D3">
              <w:rPr>
                <w:color w:val="333333"/>
                <w:sz w:val="22"/>
                <w:szCs w:val="22"/>
              </w:rPr>
              <w:t>Additive</w:t>
            </w:r>
          </w:p>
          <w:p w:rsidRPr="003C42D3" w:rsidR="00CE6EE8" w:rsidP="004512E2" w:rsidRDefault="00CE6EE8" w14:paraId="4225B931" w14:textId="77777777">
            <w:pPr>
              <w:jc w:val="center"/>
              <w:rPr>
                <w:color w:val="333333"/>
                <w:sz w:val="22"/>
                <w:szCs w:val="22"/>
              </w:rPr>
            </w:pPr>
            <w:r w:rsidRPr="003C42D3">
              <w:rPr>
                <w:color w:val="333333"/>
                <w:sz w:val="22"/>
                <w:szCs w:val="22"/>
              </w:rPr>
              <w:t>dominance</w:t>
            </w:r>
          </w:p>
          <w:p w:rsidRPr="003C42D3" w:rsidR="00CE6EE8" w:rsidP="004512E2" w:rsidRDefault="00CE6EE8" w14:paraId="3C3E6DAF" w14:textId="77777777">
            <w:pPr>
              <w:jc w:val="center"/>
              <w:rPr>
                <w:sz w:val="22"/>
                <w:szCs w:val="22"/>
              </w:rPr>
            </w:pPr>
            <w:r w:rsidRPr="003C42D3">
              <w:rPr>
                <w:color w:val="333333"/>
                <w:sz w:val="22"/>
                <w:szCs w:val="22"/>
              </w:rPr>
              <w:t>recessive</w:t>
            </w:r>
          </w:p>
        </w:tc>
        <w:tc>
          <w:tcPr>
            <w:tcW w:w="284" w:type="dxa"/>
            <w:tcBorders>
              <w:top w:val="single" w:color="auto" w:sz="4" w:space="0"/>
              <w:bottom w:val="single" w:color="auto" w:sz="4" w:space="0"/>
            </w:tcBorders>
            <w:tcMar/>
          </w:tcPr>
          <w:p w:rsidRPr="003C42D3" w:rsidR="00CE6EE8" w:rsidP="004512E2" w:rsidRDefault="00CE6EE8" w14:paraId="4202A718" w14:textId="77777777">
            <w:pPr>
              <w:jc w:val="center"/>
              <w:rPr>
                <w:color w:val="333333"/>
                <w:sz w:val="22"/>
                <w:szCs w:val="22"/>
              </w:rPr>
            </w:pPr>
          </w:p>
        </w:tc>
        <w:tc>
          <w:tcPr>
            <w:tcW w:w="2829" w:type="dxa"/>
            <w:gridSpan w:val="2"/>
            <w:tcBorders>
              <w:top w:val="single" w:color="auto" w:sz="4" w:space="0"/>
              <w:bottom w:val="single" w:color="auto" w:sz="4" w:space="0"/>
            </w:tcBorders>
            <w:tcMar>
              <w:top w:w="100" w:type="dxa"/>
              <w:left w:w="100" w:type="dxa"/>
              <w:bottom w:w="100" w:type="dxa"/>
              <w:right w:w="100" w:type="dxa"/>
            </w:tcMar>
            <w:hideMark/>
          </w:tcPr>
          <w:p w:rsidRPr="003C42D3" w:rsidR="00CE6EE8" w:rsidP="004512E2" w:rsidRDefault="00CE6EE8" w14:paraId="7AD1195C" w14:textId="77777777">
            <w:pPr>
              <w:jc w:val="center"/>
              <w:rPr>
                <w:color w:val="333333"/>
                <w:sz w:val="22"/>
                <w:szCs w:val="22"/>
              </w:rPr>
            </w:pPr>
            <w:r w:rsidRPr="003C42D3">
              <w:rPr>
                <w:color w:val="333333"/>
                <w:sz w:val="22"/>
                <w:szCs w:val="22"/>
              </w:rPr>
              <w:t>Sex-specific</w:t>
            </w:r>
          </w:p>
          <w:p w:rsidRPr="003C42D3" w:rsidR="00CE6EE8" w:rsidP="004512E2" w:rsidRDefault="00CE6EE8" w14:paraId="42C6CFDD" w14:textId="77777777">
            <w:pPr>
              <w:jc w:val="center"/>
              <w:rPr>
                <w:sz w:val="22"/>
                <w:szCs w:val="22"/>
              </w:rPr>
            </w:pPr>
            <w:r w:rsidRPr="003C42D3">
              <w:rPr>
                <w:color w:val="333333"/>
                <w:sz w:val="22"/>
                <w:szCs w:val="22"/>
              </w:rPr>
              <w:t>dominance</w:t>
            </w:r>
          </w:p>
        </w:tc>
      </w:tr>
      <w:tr w:rsidRPr="003C42D3" w:rsidR="00CE6EE8" w:rsidTr="4856263D" w14:paraId="5BD73918" w14:textId="77777777">
        <w:tc>
          <w:tcPr>
            <w:tcW w:w="840" w:type="dxa"/>
            <w:tcBorders>
              <w:top w:val="single" w:color="auto" w:sz="4" w:space="0"/>
              <w:bottom w:val="single" w:color="auto" w:sz="4" w:space="0"/>
            </w:tcBorders>
            <w:tcMar>
              <w:top w:w="100" w:type="dxa"/>
              <w:left w:w="100" w:type="dxa"/>
              <w:bottom w:w="100" w:type="dxa"/>
              <w:right w:w="100" w:type="dxa"/>
            </w:tcMar>
            <w:hideMark/>
          </w:tcPr>
          <w:p w:rsidRPr="003C42D3" w:rsidR="00CE6EE8" w:rsidP="004512E2" w:rsidRDefault="00CE6EE8" w14:paraId="738BBBC7" w14:textId="77777777">
            <w:pPr>
              <w:rPr>
                <w:sz w:val="22"/>
                <w:szCs w:val="22"/>
              </w:rPr>
            </w:pPr>
            <w:r w:rsidRPr="003C42D3">
              <w:rPr>
                <w:color w:val="333333"/>
                <w:sz w:val="22"/>
                <w:szCs w:val="22"/>
              </w:rPr>
              <w:t xml:space="preserve"> </w:t>
            </w:r>
          </w:p>
        </w:tc>
        <w:tc>
          <w:tcPr>
            <w:tcW w:w="837" w:type="dxa"/>
            <w:tcBorders>
              <w:top w:val="single" w:color="auto" w:sz="4" w:space="0"/>
              <w:bottom w:val="single" w:color="auto" w:sz="4" w:space="0"/>
            </w:tcBorders>
            <w:tcMar>
              <w:top w:w="100" w:type="dxa"/>
              <w:left w:w="100" w:type="dxa"/>
              <w:bottom w:w="100" w:type="dxa"/>
              <w:right w:w="100" w:type="dxa"/>
            </w:tcMar>
            <w:hideMark/>
          </w:tcPr>
          <w:p w:rsidRPr="003C42D3" w:rsidR="00CE6EE8" w:rsidP="004512E2" w:rsidRDefault="00CE6EE8" w14:paraId="52AFB090" w14:textId="77777777">
            <w:pPr>
              <w:jc w:val="center"/>
              <w:rPr>
                <w:sz w:val="22"/>
                <w:szCs w:val="22"/>
              </w:rPr>
            </w:pPr>
            <w:r w:rsidRPr="003C42D3">
              <w:rPr>
                <w:color w:val="333333"/>
                <w:sz w:val="22"/>
                <w:szCs w:val="22"/>
              </w:rPr>
              <w:t>Male</w:t>
            </w:r>
          </w:p>
        </w:tc>
        <w:tc>
          <w:tcPr>
            <w:tcW w:w="1134" w:type="dxa"/>
            <w:tcBorders>
              <w:top w:val="single" w:color="auto" w:sz="4" w:space="0"/>
              <w:bottom w:val="single" w:color="auto" w:sz="4" w:space="0"/>
            </w:tcBorders>
            <w:tcMar>
              <w:top w:w="100" w:type="dxa"/>
              <w:left w:w="100" w:type="dxa"/>
              <w:bottom w:w="100" w:type="dxa"/>
              <w:right w:w="100" w:type="dxa"/>
            </w:tcMar>
            <w:hideMark/>
          </w:tcPr>
          <w:p w:rsidRPr="003C42D3" w:rsidR="00CE6EE8" w:rsidP="004512E2" w:rsidRDefault="00CE6EE8" w14:paraId="3915541D" w14:textId="77777777">
            <w:pPr>
              <w:jc w:val="center"/>
              <w:rPr>
                <w:sz w:val="22"/>
                <w:szCs w:val="22"/>
              </w:rPr>
            </w:pPr>
            <w:r w:rsidRPr="003C42D3">
              <w:rPr>
                <w:color w:val="333333"/>
                <w:sz w:val="22"/>
                <w:szCs w:val="22"/>
              </w:rPr>
              <w:t>Female</w:t>
            </w:r>
          </w:p>
        </w:tc>
        <w:tc>
          <w:tcPr>
            <w:tcW w:w="284" w:type="dxa"/>
            <w:tcBorders>
              <w:top w:val="single" w:color="auto" w:sz="4" w:space="0"/>
              <w:bottom w:val="single" w:color="auto" w:sz="4" w:space="0"/>
            </w:tcBorders>
            <w:tcMar/>
          </w:tcPr>
          <w:p w:rsidRPr="003C42D3" w:rsidR="00CE6EE8" w:rsidP="004512E2" w:rsidRDefault="00CE6EE8" w14:paraId="0248A12C" w14:textId="77777777">
            <w:pPr>
              <w:jc w:val="center"/>
              <w:rPr>
                <w:color w:val="333333"/>
                <w:sz w:val="22"/>
                <w:szCs w:val="22"/>
              </w:rPr>
            </w:pPr>
          </w:p>
        </w:tc>
        <w:tc>
          <w:tcPr>
            <w:tcW w:w="1134" w:type="dxa"/>
            <w:tcBorders>
              <w:top w:val="single" w:color="auto" w:sz="4" w:space="0"/>
              <w:bottom w:val="single" w:color="auto" w:sz="4" w:space="0"/>
            </w:tcBorders>
            <w:tcMar>
              <w:top w:w="100" w:type="dxa"/>
              <w:left w:w="100" w:type="dxa"/>
              <w:bottom w:w="100" w:type="dxa"/>
              <w:right w:w="100" w:type="dxa"/>
            </w:tcMar>
            <w:hideMark/>
          </w:tcPr>
          <w:p w:rsidRPr="003C42D3" w:rsidR="00CE6EE8" w:rsidP="004512E2" w:rsidRDefault="00CE6EE8" w14:paraId="375BD726" w14:textId="77777777">
            <w:pPr>
              <w:jc w:val="center"/>
              <w:rPr>
                <w:sz w:val="22"/>
                <w:szCs w:val="22"/>
              </w:rPr>
            </w:pPr>
            <w:r w:rsidRPr="003C42D3">
              <w:rPr>
                <w:color w:val="333333"/>
                <w:sz w:val="22"/>
                <w:szCs w:val="22"/>
              </w:rPr>
              <w:t>Male</w:t>
            </w:r>
          </w:p>
        </w:tc>
        <w:tc>
          <w:tcPr>
            <w:tcW w:w="1695" w:type="dxa"/>
            <w:tcBorders>
              <w:top w:val="single" w:color="auto" w:sz="4" w:space="0"/>
              <w:bottom w:val="single" w:color="auto" w:sz="4" w:space="0"/>
            </w:tcBorders>
            <w:tcMar>
              <w:top w:w="100" w:type="dxa"/>
              <w:left w:w="100" w:type="dxa"/>
              <w:bottom w:w="100" w:type="dxa"/>
              <w:right w:w="100" w:type="dxa"/>
            </w:tcMar>
            <w:hideMark/>
          </w:tcPr>
          <w:p w:rsidRPr="003C42D3" w:rsidR="00CE6EE8" w:rsidP="004512E2" w:rsidRDefault="00CE6EE8" w14:paraId="59598F31" w14:textId="77777777">
            <w:pPr>
              <w:jc w:val="center"/>
              <w:rPr>
                <w:sz w:val="22"/>
                <w:szCs w:val="22"/>
              </w:rPr>
            </w:pPr>
            <w:r w:rsidRPr="003C42D3">
              <w:rPr>
                <w:color w:val="333333"/>
                <w:sz w:val="22"/>
                <w:szCs w:val="22"/>
              </w:rPr>
              <w:t>Female</w:t>
            </w:r>
          </w:p>
        </w:tc>
      </w:tr>
      <w:tr w:rsidRPr="003C42D3" w:rsidR="00CE6EE8" w:rsidTr="4856263D" w14:paraId="6BE89A12" w14:textId="77777777">
        <w:tc>
          <w:tcPr>
            <w:tcW w:w="840" w:type="dxa"/>
            <w:tcBorders>
              <w:top w:val="single" w:color="auto" w:sz="4" w:space="0"/>
            </w:tcBorders>
            <w:tcMar>
              <w:top w:w="100" w:type="dxa"/>
              <w:left w:w="100" w:type="dxa"/>
              <w:bottom w:w="100" w:type="dxa"/>
              <w:right w:w="100" w:type="dxa"/>
            </w:tcMar>
            <w:hideMark/>
          </w:tcPr>
          <w:p w:rsidRPr="003C42D3" w:rsidR="00CE6EE8" w:rsidP="004512E2" w:rsidRDefault="00CE6EE8" w14:paraId="6AB635F1" w14:textId="77777777">
            <w:pPr>
              <w:rPr>
                <w:sz w:val="22"/>
                <w:szCs w:val="22"/>
              </w:rPr>
            </w:pPr>
            <w:r w:rsidRPr="003C42D3">
              <w:rPr>
                <w:color w:val="333333"/>
                <w:sz w:val="22"/>
                <w:szCs w:val="22"/>
              </w:rPr>
              <w:t>A</w:t>
            </w:r>
            <w:r w:rsidRPr="003C42D3">
              <w:rPr>
                <w:color w:val="333333"/>
                <w:sz w:val="22"/>
                <w:szCs w:val="22"/>
                <w:vertAlign w:val="subscript"/>
              </w:rPr>
              <w:t>1</w:t>
            </w:r>
            <w:r w:rsidRPr="003C42D3">
              <w:rPr>
                <w:color w:val="333333"/>
                <w:sz w:val="22"/>
                <w:szCs w:val="22"/>
              </w:rPr>
              <w:t>A</w:t>
            </w:r>
            <w:r w:rsidRPr="003C42D3">
              <w:rPr>
                <w:color w:val="333333"/>
                <w:sz w:val="22"/>
                <w:szCs w:val="22"/>
                <w:vertAlign w:val="subscript"/>
              </w:rPr>
              <w:t>1</w:t>
            </w:r>
          </w:p>
        </w:tc>
        <w:tc>
          <w:tcPr>
            <w:tcW w:w="837" w:type="dxa"/>
            <w:tcBorders>
              <w:top w:val="single" w:color="auto" w:sz="4" w:space="0"/>
            </w:tcBorders>
            <w:tcMar>
              <w:top w:w="100" w:type="dxa"/>
              <w:left w:w="100" w:type="dxa"/>
              <w:bottom w:w="100" w:type="dxa"/>
              <w:right w:w="100" w:type="dxa"/>
            </w:tcMar>
            <w:hideMark/>
          </w:tcPr>
          <w:p w:rsidRPr="003C42D3" w:rsidR="00CE6EE8" w:rsidP="004512E2" w:rsidRDefault="00CE6EE8" w14:paraId="6B4051CA" w14:textId="77777777">
            <w:pPr>
              <w:jc w:val="center"/>
              <w:rPr>
                <w:sz w:val="22"/>
                <w:szCs w:val="22"/>
              </w:rPr>
            </w:pPr>
            <m:oMathPara>
              <m:oMath>
                <m:r>
                  <w:rPr>
                    <w:rFonts w:ascii="Cambria Math" w:hAnsi="Cambria Math"/>
                    <w:sz w:val="22"/>
                    <w:szCs w:val="22"/>
                  </w:rPr>
                  <m:t>1+s</m:t>
                </m:r>
              </m:oMath>
            </m:oMathPara>
          </w:p>
        </w:tc>
        <w:tc>
          <w:tcPr>
            <w:tcW w:w="1134" w:type="dxa"/>
            <w:tcBorders>
              <w:top w:val="single" w:color="auto" w:sz="4" w:space="0"/>
            </w:tcBorders>
            <w:tcMar>
              <w:top w:w="100" w:type="dxa"/>
              <w:left w:w="100" w:type="dxa"/>
              <w:bottom w:w="100" w:type="dxa"/>
              <w:right w:w="100" w:type="dxa"/>
            </w:tcMar>
            <w:hideMark/>
          </w:tcPr>
          <w:p w:rsidRPr="003C42D3" w:rsidR="00CE6EE8" w:rsidP="004512E2" w:rsidRDefault="00CE6EE8" w14:paraId="1D8E9A29" w14:textId="77777777">
            <w:pPr>
              <w:jc w:val="center"/>
              <w:rPr>
                <w:sz w:val="22"/>
                <w:szCs w:val="22"/>
              </w:rPr>
            </w:pPr>
            <m:oMathPara>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1+s</m:t>
                    </m:r>
                  </m:den>
                </m:f>
              </m:oMath>
            </m:oMathPara>
          </w:p>
        </w:tc>
        <w:tc>
          <w:tcPr>
            <w:tcW w:w="284" w:type="dxa"/>
            <w:tcBorders>
              <w:top w:val="single" w:color="auto" w:sz="4" w:space="0"/>
            </w:tcBorders>
            <w:tcMar/>
          </w:tcPr>
          <w:p w:rsidRPr="003C42D3" w:rsidR="00CE6EE8" w:rsidP="004512E2" w:rsidRDefault="00CE6EE8" w14:paraId="02BCE067" w14:textId="77777777">
            <w:pPr>
              <w:jc w:val="center"/>
              <w:rPr>
                <w:sz w:val="22"/>
                <w:szCs w:val="22"/>
              </w:rPr>
            </w:pPr>
          </w:p>
        </w:tc>
        <w:tc>
          <w:tcPr>
            <w:tcW w:w="1134" w:type="dxa"/>
            <w:tcBorders>
              <w:top w:val="single" w:color="auto" w:sz="4" w:space="0"/>
            </w:tcBorders>
            <w:tcMar>
              <w:top w:w="100" w:type="dxa"/>
              <w:left w:w="100" w:type="dxa"/>
              <w:bottom w:w="100" w:type="dxa"/>
              <w:right w:w="100" w:type="dxa"/>
            </w:tcMar>
            <w:hideMark/>
          </w:tcPr>
          <w:p w:rsidRPr="003C42D3" w:rsidR="00CE6EE8" w:rsidP="004512E2" w:rsidRDefault="00CE6EE8" w14:paraId="22F98A2A" w14:textId="77777777">
            <w:pPr>
              <w:jc w:val="center"/>
              <w:rPr>
                <w:sz w:val="22"/>
                <w:szCs w:val="22"/>
              </w:rPr>
            </w:pPr>
            <m:oMathPara>
              <m:oMath>
                <m:r>
                  <w:rPr>
                    <w:rFonts w:ascii="Cambria Math" w:hAnsi="Cambria Math"/>
                    <w:sz w:val="22"/>
                    <w:szCs w:val="22"/>
                  </w:rPr>
                  <m:t>1+s</m:t>
                </m:r>
              </m:oMath>
            </m:oMathPara>
          </w:p>
        </w:tc>
        <w:tc>
          <w:tcPr>
            <w:tcW w:w="1695" w:type="dxa"/>
            <w:tcBorders>
              <w:top w:val="single" w:color="auto" w:sz="4" w:space="0"/>
            </w:tcBorders>
            <w:tcMar>
              <w:top w:w="100" w:type="dxa"/>
              <w:left w:w="100" w:type="dxa"/>
              <w:bottom w:w="100" w:type="dxa"/>
              <w:right w:w="100" w:type="dxa"/>
            </w:tcMar>
            <w:hideMark/>
          </w:tcPr>
          <w:p w:rsidRPr="003C42D3" w:rsidR="00CE6EE8" w:rsidP="004512E2" w:rsidRDefault="00CE6EE8" w14:paraId="5A363052" w14:textId="77777777">
            <w:pPr>
              <w:jc w:val="center"/>
              <w:rPr>
                <w:sz w:val="22"/>
                <w:szCs w:val="22"/>
              </w:rPr>
            </w:pPr>
            <w:r w:rsidRPr="003C42D3">
              <w:rPr>
                <w:color w:val="333333"/>
                <w:sz w:val="22"/>
                <w:szCs w:val="22"/>
              </w:rPr>
              <w:t>1</w:t>
            </w:r>
          </w:p>
        </w:tc>
      </w:tr>
      <w:tr w:rsidRPr="003C42D3" w:rsidR="00CE6EE8" w:rsidTr="4856263D" w14:paraId="389D79E4" w14:textId="77777777">
        <w:tc>
          <w:tcPr>
            <w:tcW w:w="840" w:type="dxa"/>
            <w:tcMar>
              <w:top w:w="100" w:type="dxa"/>
              <w:left w:w="100" w:type="dxa"/>
              <w:bottom w:w="100" w:type="dxa"/>
              <w:right w:w="100" w:type="dxa"/>
            </w:tcMar>
            <w:hideMark/>
          </w:tcPr>
          <w:p w:rsidRPr="003C42D3" w:rsidR="00CE6EE8" w:rsidP="004512E2" w:rsidRDefault="00CE6EE8" w14:paraId="556B8E0A" w14:textId="77777777">
            <w:pPr>
              <w:rPr>
                <w:sz w:val="22"/>
                <w:szCs w:val="22"/>
              </w:rPr>
            </w:pPr>
            <w:r w:rsidRPr="003C42D3">
              <w:rPr>
                <w:color w:val="333333"/>
                <w:sz w:val="22"/>
                <w:szCs w:val="22"/>
              </w:rPr>
              <w:t>A</w:t>
            </w:r>
            <w:r w:rsidRPr="003C42D3">
              <w:rPr>
                <w:color w:val="333333"/>
                <w:sz w:val="22"/>
                <w:szCs w:val="22"/>
                <w:vertAlign w:val="subscript"/>
              </w:rPr>
              <w:t>1</w:t>
            </w:r>
            <w:r w:rsidRPr="003C42D3">
              <w:rPr>
                <w:color w:val="333333"/>
                <w:sz w:val="22"/>
                <w:szCs w:val="22"/>
              </w:rPr>
              <w:t>A</w:t>
            </w:r>
            <w:r w:rsidRPr="003C42D3">
              <w:rPr>
                <w:color w:val="333333"/>
                <w:sz w:val="22"/>
                <w:szCs w:val="22"/>
                <w:vertAlign w:val="subscript"/>
              </w:rPr>
              <w:t>2</w:t>
            </w:r>
          </w:p>
        </w:tc>
        <w:tc>
          <w:tcPr>
            <w:tcW w:w="837" w:type="dxa"/>
            <w:tcMar>
              <w:top w:w="100" w:type="dxa"/>
              <w:left w:w="100" w:type="dxa"/>
              <w:bottom w:w="100" w:type="dxa"/>
              <w:right w:w="100" w:type="dxa"/>
            </w:tcMar>
            <w:hideMark/>
          </w:tcPr>
          <w:p w:rsidRPr="003C42D3" w:rsidR="00CE6EE8" w:rsidP="004512E2" w:rsidRDefault="00CE6EE8" w14:paraId="1A34E5E2" w14:textId="77777777">
            <w:pPr>
              <w:jc w:val="center"/>
              <w:rPr>
                <w:sz w:val="22"/>
                <w:szCs w:val="22"/>
              </w:rPr>
            </w:pPr>
            <m:oMathPara>
              <m:oMath>
                <m:r>
                  <w:rPr>
                    <w:rFonts w:ascii="Cambria Math" w:hAnsi="Cambria Math"/>
                    <w:sz w:val="22"/>
                    <w:szCs w:val="22"/>
                  </w:rPr>
                  <m:t>1+</m:t>
                </m:r>
                <m:r>
                  <w:rPr>
                    <w:rFonts w:ascii="Cambria Math" w:hAnsi="Cambria Math"/>
                    <w:sz w:val="22"/>
                    <w:szCs w:val="22"/>
                  </w:rPr>
                  <m:t>hs</m:t>
                </m:r>
              </m:oMath>
            </m:oMathPara>
          </w:p>
        </w:tc>
        <w:tc>
          <w:tcPr>
            <w:tcW w:w="1134" w:type="dxa"/>
            <w:tcMar>
              <w:top w:w="100" w:type="dxa"/>
              <w:left w:w="100" w:type="dxa"/>
              <w:bottom w:w="100" w:type="dxa"/>
              <w:right w:w="100" w:type="dxa"/>
            </w:tcMar>
            <w:hideMark/>
          </w:tcPr>
          <w:p w:rsidRPr="003C42D3" w:rsidR="00CE6EE8" w:rsidP="004512E2" w:rsidRDefault="00CE6EE8" w14:paraId="7A63D72E" w14:textId="77777777">
            <w:pPr>
              <w:jc w:val="center"/>
              <w:rPr>
                <w:sz w:val="22"/>
                <w:szCs w:val="22"/>
              </w:rPr>
            </w:pPr>
            <m:oMathPara>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r>
                      <w:rPr>
                        <w:rFonts w:ascii="Cambria Math" w:hAnsi="Cambria Math"/>
                        <w:sz w:val="22"/>
                        <w:szCs w:val="22"/>
                      </w:rPr>
                      <m:t>hs</m:t>
                    </m:r>
                  </m:den>
                </m:f>
              </m:oMath>
            </m:oMathPara>
          </w:p>
        </w:tc>
        <w:tc>
          <w:tcPr>
            <w:tcW w:w="284" w:type="dxa"/>
            <w:tcMar/>
          </w:tcPr>
          <w:p w:rsidRPr="003C42D3" w:rsidR="00CE6EE8" w:rsidP="004512E2" w:rsidRDefault="00CE6EE8" w14:paraId="6342F5DF" w14:textId="77777777">
            <w:pPr>
              <w:jc w:val="center"/>
              <w:rPr>
                <w:sz w:val="22"/>
                <w:szCs w:val="22"/>
              </w:rPr>
            </w:pPr>
          </w:p>
        </w:tc>
        <w:tc>
          <w:tcPr>
            <w:tcW w:w="1134" w:type="dxa"/>
            <w:tcMar>
              <w:top w:w="100" w:type="dxa"/>
              <w:left w:w="100" w:type="dxa"/>
              <w:bottom w:w="100" w:type="dxa"/>
              <w:right w:w="100" w:type="dxa"/>
            </w:tcMar>
            <w:hideMark/>
          </w:tcPr>
          <w:p w:rsidRPr="003C42D3" w:rsidR="00CE6EE8" w:rsidP="004512E2" w:rsidRDefault="00CE6EE8" w14:paraId="1ADF5716" w14:textId="77777777">
            <w:pPr>
              <w:jc w:val="center"/>
              <w:rPr>
                <w:sz w:val="22"/>
                <w:szCs w:val="22"/>
              </w:rPr>
            </w:pPr>
            <m:oMathPara>
              <m:oMath>
                <m:r>
                  <w:rPr>
                    <w:rFonts w:ascii="Cambria Math" w:hAnsi="Cambria Math"/>
                    <w:sz w:val="22"/>
                    <w:szCs w:val="22"/>
                  </w:rPr>
                  <m:t>1+s</m:t>
                </m:r>
              </m:oMath>
            </m:oMathPara>
          </w:p>
        </w:tc>
        <w:tc>
          <w:tcPr>
            <w:tcW w:w="1695" w:type="dxa"/>
            <w:tcMar>
              <w:top w:w="100" w:type="dxa"/>
              <w:left w:w="100" w:type="dxa"/>
              <w:bottom w:w="100" w:type="dxa"/>
              <w:right w:w="100" w:type="dxa"/>
            </w:tcMar>
            <w:hideMark/>
          </w:tcPr>
          <w:p w:rsidRPr="003C42D3" w:rsidR="00CE6EE8" w:rsidP="004512E2" w:rsidRDefault="00CE6EE8" w14:paraId="051CB020" w14:textId="77777777">
            <w:pPr>
              <w:jc w:val="center"/>
              <w:rPr>
                <w:sz w:val="22"/>
                <w:szCs w:val="22"/>
              </w:rPr>
            </w:pPr>
            <m:oMathPara>
              <m:oMath>
                <m:r>
                  <w:rPr>
                    <w:rFonts w:ascii="Cambria Math" w:hAnsi="Cambria Math"/>
                    <w:sz w:val="22"/>
                    <w:szCs w:val="22"/>
                  </w:rPr>
                  <m:t>1+s</m:t>
                </m:r>
              </m:oMath>
            </m:oMathPara>
          </w:p>
        </w:tc>
      </w:tr>
      <w:tr w:rsidRPr="003C42D3" w:rsidR="00CE6EE8" w:rsidTr="4856263D" w14:paraId="03F49578" w14:textId="77777777">
        <w:tc>
          <w:tcPr>
            <w:tcW w:w="840" w:type="dxa"/>
            <w:tcBorders>
              <w:bottom w:val="single" w:color="auto" w:sz="4" w:space="0"/>
            </w:tcBorders>
            <w:tcMar>
              <w:top w:w="100" w:type="dxa"/>
              <w:left w:w="100" w:type="dxa"/>
              <w:bottom w:w="100" w:type="dxa"/>
              <w:right w:w="100" w:type="dxa"/>
            </w:tcMar>
            <w:hideMark/>
          </w:tcPr>
          <w:p w:rsidRPr="003C42D3" w:rsidR="00CE6EE8" w:rsidP="004512E2" w:rsidRDefault="00CE6EE8" w14:paraId="0C59F77F" w14:textId="77777777">
            <w:pPr>
              <w:rPr>
                <w:sz w:val="22"/>
                <w:szCs w:val="22"/>
              </w:rPr>
            </w:pPr>
            <w:r w:rsidRPr="003C42D3">
              <w:rPr>
                <w:color w:val="333333"/>
                <w:sz w:val="22"/>
                <w:szCs w:val="22"/>
              </w:rPr>
              <w:t>A</w:t>
            </w:r>
            <w:r w:rsidRPr="003C42D3">
              <w:rPr>
                <w:color w:val="333333"/>
                <w:sz w:val="22"/>
                <w:szCs w:val="22"/>
                <w:vertAlign w:val="subscript"/>
              </w:rPr>
              <w:t>2</w:t>
            </w:r>
            <w:r w:rsidRPr="003C42D3">
              <w:rPr>
                <w:color w:val="333333"/>
                <w:sz w:val="22"/>
                <w:szCs w:val="22"/>
              </w:rPr>
              <w:t>A</w:t>
            </w:r>
            <w:r w:rsidRPr="003C42D3">
              <w:rPr>
                <w:color w:val="333333"/>
                <w:sz w:val="22"/>
                <w:szCs w:val="22"/>
                <w:vertAlign w:val="subscript"/>
              </w:rPr>
              <w:t>2</w:t>
            </w:r>
          </w:p>
        </w:tc>
        <w:tc>
          <w:tcPr>
            <w:tcW w:w="837" w:type="dxa"/>
            <w:tcBorders>
              <w:bottom w:val="single" w:color="auto" w:sz="4" w:space="0"/>
            </w:tcBorders>
            <w:tcMar>
              <w:top w:w="100" w:type="dxa"/>
              <w:left w:w="100" w:type="dxa"/>
              <w:bottom w:w="100" w:type="dxa"/>
              <w:right w:w="100" w:type="dxa"/>
            </w:tcMar>
            <w:hideMark/>
          </w:tcPr>
          <w:p w:rsidRPr="003C42D3" w:rsidR="00CE6EE8" w:rsidP="004512E2" w:rsidRDefault="00CE6EE8" w14:paraId="72788A8A" w14:textId="77777777">
            <w:pPr>
              <w:jc w:val="center"/>
              <w:rPr>
                <w:sz w:val="22"/>
                <w:szCs w:val="22"/>
              </w:rPr>
            </w:pPr>
            <w:r w:rsidRPr="003C42D3">
              <w:rPr>
                <w:color w:val="333333"/>
                <w:sz w:val="22"/>
                <w:szCs w:val="22"/>
              </w:rPr>
              <w:t>1</w:t>
            </w:r>
          </w:p>
        </w:tc>
        <w:tc>
          <w:tcPr>
            <w:tcW w:w="1134" w:type="dxa"/>
            <w:tcBorders>
              <w:bottom w:val="single" w:color="auto" w:sz="4" w:space="0"/>
            </w:tcBorders>
            <w:tcMar>
              <w:top w:w="100" w:type="dxa"/>
              <w:left w:w="100" w:type="dxa"/>
              <w:bottom w:w="100" w:type="dxa"/>
              <w:right w:w="100" w:type="dxa"/>
            </w:tcMar>
            <w:hideMark/>
          </w:tcPr>
          <w:p w:rsidRPr="003C42D3" w:rsidR="00CE6EE8" w:rsidP="004512E2" w:rsidRDefault="00CE6EE8" w14:paraId="1567D44F" w14:textId="77777777">
            <w:pPr>
              <w:jc w:val="center"/>
              <w:rPr>
                <w:sz w:val="22"/>
                <w:szCs w:val="22"/>
              </w:rPr>
            </w:pPr>
            <w:r w:rsidRPr="003C42D3">
              <w:rPr>
                <w:color w:val="333333"/>
                <w:sz w:val="22"/>
                <w:szCs w:val="22"/>
              </w:rPr>
              <w:t>1</w:t>
            </w:r>
          </w:p>
        </w:tc>
        <w:tc>
          <w:tcPr>
            <w:tcW w:w="284" w:type="dxa"/>
            <w:tcBorders>
              <w:bottom w:val="single" w:color="auto" w:sz="4" w:space="0"/>
            </w:tcBorders>
            <w:tcMar/>
          </w:tcPr>
          <w:p w:rsidRPr="003C42D3" w:rsidR="00CE6EE8" w:rsidP="004512E2" w:rsidRDefault="00CE6EE8" w14:paraId="4B489E0F" w14:textId="77777777">
            <w:pPr>
              <w:jc w:val="center"/>
              <w:rPr>
                <w:color w:val="333333"/>
                <w:sz w:val="22"/>
                <w:szCs w:val="22"/>
              </w:rPr>
            </w:pPr>
          </w:p>
        </w:tc>
        <w:tc>
          <w:tcPr>
            <w:tcW w:w="1134" w:type="dxa"/>
            <w:tcBorders>
              <w:bottom w:val="single" w:color="auto" w:sz="4" w:space="0"/>
            </w:tcBorders>
            <w:tcMar>
              <w:top w:w="100" w:type="dxa"/>
              <w:left w:w="100" w:type="dxa"/>
              <w:bottom w:w="100" w:type="dxa"/>
              <w:right w:w="100" w:type="dxa"/>
            </w:tcMar>
            <w:hideMark/>
          </w:tcPr>
          <w:p w:rsidRPr="003C42D3" w:rsidR="00CE6EE8" w:rsidP="004512E2" w:rsidRDefault="00CE6EE8" w14:paraId="3BE48A9A" w14:textId="77777777">
            <w:pPr>
              <w:jc w:val="center"/>
              <w:rPr>
                <w:sz w:val="22"/>
                <w:szCs w:val="22"/>
              </w:rPr>
            </w:pPr>
            <w:r w:rsidRPr="003C42D3">
              <w:rPr>
                <w:color w:val="333333"/>
                <w:sz w:val="22"/>
                <w:szCs w:val="22"/>
              </w:rPr>
              <w:t>1</w:t>
            </w:r>
          </w:p>
        </w:tc>
        <w:tc>
          <w:tcPr>
            <w:tcW w:w="1695" w:type="dxa"/>
            <w:tcBorders>
              <w:bottom w:val="single" w:color="auto" w:sz="4" w:space="0"/>
            </w:tcBorders>
            <w:tcMar>
              <w:top w:w="100" w:type="dxa"/>
              <w:left w:w="100" w:type="dxa"/>
              <w:bottom w:w="100" w:type="dxa"/>
              <w:right w:w="100" w:type="dxa"/>
            </w:tcMar>
            <w:hideMark/>
          </w:tcPr>
          <w:p w:rsidRPr="003C42D3" w:rsidR="00CE6EE8" w:rsidP="004512E2" w:rsidRDefault="00CE6EE8" w14:paraId="49A61807" w14:textId="77777777">
            <w:pPr>
              <w:jc w:val="center"/>
              <w:rPr>
                <w:sz w:val="22"/>
                <w:szCs w:val="22"/>
              </w:rPr>
            </w:pPr>
            <m:oMathPara>
              <m:oMath>
                <m:r>
                  <w:rPr>
                    <w:rFonts w:ascii="Cambria Math" w:hAnsi="Cambria Math"/>
                    <w:sz w:val="22"/>
                    <w:szCs w:val="22"/>
                  </w:rPr>
                  <m:t>1+s</m:t>
                </m:r>
              </m:oMath>
            </m:oMathPara>
          </w:p>
        </w:tc>
      </w:tr>
    </w:tbl>
    <w:p w:rsidRPr="003C42D3" w:rsidR="00CE6EE8" w:rsidP="00CE6EE8" w:rsidRDefault="00CE6EE8" w14:paraId="5916D6A9" w14:textId="77777777">
      <w:pPr>
        <w:rPr>
          <w:sz w:val="22"/>
          <w:szCs w:val="22"/>
        </w:rPr>
      </w:pPr>
      <w:r w:rsidRPr="003C42D3">
        <w:rPr>
          <w:rFonts w:cs="Arial"/>
          <w:color w:val="333333"/>
          <w:sz w:val="22"/>
          <w:szCs w:val="22"/>
          <w:shd w:val="clear" w:color="auto" w:fill="FFFFFF"/>
        </w:rPr>
        <w:t xml:space="preserve"> </w:t>
      </w:r>
    </w:p>
    <w:p w:rsidR="00CE6EE8" w:rsidP="00CE6EE8" w:rsidRDefault="00CE6EE8" w14:paraId="5C3608D4" w14:textId="77777777">
      <w:pPr>
        <w:rPr>
          <w:color w:val="333333"/>
          <w:sz w:val="22"/>
          <w:szCs w:val="22"/>
          <w:shd w:val="clear" w:color="auto" w:fill="FFFFFF"/>
        </w:rPr>
      </w:pPr>
      <w:r w:rsidRPr="003C42D3">
        <w:rPr>
          <w:b/>
          <w:color w:val="333333"/>
          <w:sz w:val="22"/>
          <w:szCs w:val="22"/>
          <w:shd w:val="clear" w:color="auto" w:fill="FFFFFF"/>
        </w:rPr>
        <w:t>Table 1:</w:t>
      </w:r>
      <w:r w:rsidRPr="003C42D3">
        <w:rPr>
          <w:color w:val="333333"/>
          <w:sz w:val="22"/>
          <w:szCs w:val="22"/>
          <w:shd w:val="clear" w:color="auto" w:fill="FFFFFF"/>
        </w:rPr>
        <w:t xml:space="preserve"> Fitness function. The first column represents all the possible genotypes at the SA locus where A1 is male beneficial and A2 is female beneficial. The columns are divided between genetic architecture: additive, dominance, recessive and sex specific dominance in males versus females. The selection coefficient is represented by s and the dominance factor of the male benefit allele is indicated with an h.</w:t>
      </w:r>
    </w:p>
    <w:p w:rsidR="00CE6EE8" w:rsidP="00CE6EE8" w:rsidRDefault="00CE6EE8" w14:paraId="1FFD9B63" w14:textId="77777777">
      <w:pPr>
        <w:rPr>
          <w:sz w:val="22"/>
          <w:szCs w:val="22"/>
        </w:rPr>
      </w:pPr>
    </w:p>
    <w:p w:rsidR="00CE6EE8" w:rsidP="4856263D" w:rsidRDefault="00CE6EE8" w14:paraId="5F3EEDCB" w14:textId="77777777">
      <w:pPr>
        <w:rPr>
          <w:sz w:val="22"/>
          <w:szCs w:val="22"/>
          <w:highlight w:val="red"/>
        </w:rPr>
      </w:pPr>
      <w:r w:rsidRPr="4856263D" w:rsidR="4856263D">
        <w:rPr>
          <w:sz w:val="22"/>
          <w:szCs w:val="22"/>
          <w:highlight w:val="red"/>
        </w:rPr>
        <w:t>In our haplodiploid simulation we followed the same conditions we used above for the number of the common sex and the factor by which the rare sex was reduced, applying the same procedure to both males and females. The selection coefficients considered were also the same as above as were the dominance factors. However, since we were considering a single locus recombination distance did not need to be factored into these scenarios. A total of 672,000 simulations were carried out encompassing all of the relevant scenarios.</w:t>
      </w:r>
    </w:p>
    <w:p w:rsidR="00CE6EE8" w:rsidP="4856263D" w:rsidRDefault="00CE6EE8" w14:paraId="0C3573DE" w14:textId="77777777">
      <w:pPr>
        <w:rPr>
          <w:sz w:val="22"/>
          <w:szCs w:val="22"/>
          <w:highlight w:val="red"/>
        </w:rPr>
      </w:pPr>
    </w:p>
    <w:p w:rsidR="00CE6EE8" w:rsidP="4856263D" w:rsidRDefault="00CE6EE8" w14:paraId="79AACD6F" w14:textId="77777777">
      <w:pPr>
        <w:rPr>
          <w:sz w:val="22"/>
          <w:szCs w:val="22"/>
          <w:highlight w:val="red"/>
        </w:rPr>
      </w:pPr>
    </w:p>
    <w:tbl>
      <w:tblPr>
        <w:tblW w:w="5320" w:type="dxa"/>
        <w:tblCellMar>
          <w:left w:w="0" w:type="dxa"/>
          <w:right w:w="0" w:type="dxa"/>
        </w:tblCellMar>
        <w:tblLook w:val="0420" w:firstRow="1" w:lastRow="0" w:firstColumn="0" w:lastColumn="0" w:noHBand="0" w:noVBand="1"/>
      </w:tblPr>
      <w:tblGrid>
        <w:gridCol w:w="980"/>
        <w:gridCol w:w="1480"/>
        <w:gridCol w:w="740"/>
        <w:gridCol w:w="740"/>
        <w:gridCol w:w="1380"/>
      </w:tblGrid>
      <w:tr w:rsidRPr="009D230E" w:rsidR="00CE6EE8" w:rsidTr="4856263D" w14:paraId="6F85E763" w14:textId="77777777">
        <w:trPr>
          <w:trHeight w:val="584"/>
        </w:trPr>
        <w:tc>
          <w:tcPr>
            <w:tcW w:w="980" w:type="dxa"/>
            <w:tcBorders>
              <w:top w:val="single" w:color="000000" w:themeColor="text1" w:sz="8" w:space="0"/>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28980799" w14:textId="77777777">
            <w:pPr>
              <w:rPr>
                <w:rFonts w:ascii="Calibri" w:hAnsi="Calibri" w:asciiTheme="minorAscii" w:hAnsiTheme="minorAscii"/>
                <w:sz w:val="22"/>
                <w:szCs w:val="22"/>
                <w:highlight w:val="red"/>
              </w:rPr>
            </w:pPr>
          </w:p>
        </w:tc>
        <w:tc>
          <w:tcPr>
            <w:tcW w:w="1480" w:type="dxa"/>
            <w:tcBorders>
              <w:top w:val="single" w:color="000000" w:themeColor="text1" w:sz="8" w:space="0"/>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6B683E30" w14:textId="77777777">
            <w:pPr>
              <w:rPr>
                <w:rFonts w:ascii="Calibri" w:hAnsi="Calibri" w:asciiTheme="minorAscii" w:hAnsiTheme="minorAscii"/>
                <w:sz w:val="22"/>
                <w:szCs w:val="22"/>
                <w:highlight w:val="red"/>
              </w:rPr>
            </w:pPr>
            <w:r w:rsidRPr="4856263D" w:rsidR="4856263D">
              <w:rPr>
                <w:rFonts w:ascii="Calibri" w:hAnsi="Calibri" w:asciiTheme="minorAscii" w:hAnsiTheme="minorAscii"/>
                <w:b w:val="1"/>
                <w:bCs w:val="1"/>
                <w:sz w:val="22"/>
                <w:szCs w:val="22"/>
                <w:highlight w:val="red"/>
              </w:rPr>
              <w:t>female</w:t>
            </w:r>
          </w:p>
        </w:tc>
        <w:tc>
          <w:tcPr>
            <w:tcW w:w="740" w:type="dxa"/>
            <w:tcBorders>
              <w:top w:val="single" w:color="000000" w:themeColor="text1" w:sz="8" w:space="0"/>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1926ADD4" w14:textId="77777777">
            <w:pPr>
              <w:rPr>
                <w:rFonts w:ascii="Calibri" w:hAnsi="Calibri" w:asciiTheme="minorAscii" w:hAnsiTheme="minorAscii"/>
                <w:sz w:val="22"/>
                <w:szCs w:val="22"/>
                <w:highlight w:val="red"/>
              </w:rPr>
            </w:pPr>
          </w:p>
        </w:tc>
        <w:tc>
          <w:tcPr>
            <w:tcW w:w="740" w:type="dxa"/>
            <w:tcBorders>
              <w:top w:val="single" w:color="000000" w:themeColor="text1" w:sz="8" w:space="0"/>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7BE75130" w14:textId="77777777">
            <w:pPr>
              <w:rPr>
                <w:rFonts w:ascii="Calibri" w:hAnsi="Calibri" w:asciiTheme="minorAscii" w:hAnsiTheme="minorAscii"/>
                <w:sz w:val="22"/>
                <w:szCs w:val="22"/>
                <w:highlight w:val="red"/>
              </w:rPr>
            </w:pPr>
          </w:p>
        </w:tc>
        <w:tc>
          <w:tcPr>
            <w:tcW w:w="1380" w:type="dxa"/>
            <w:tcBorders>
              <w:top w:val="single" w:color="000000" w:themeColor="text1" w:sz="8" w:space="0"/>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7422A0F6" w14:textId="77777777">
            <w:pPr>
              <w:rPr>
                <w:rFonts w:ascii="Calibri" w:hAnsi="Calibri" w:asciiTheme="minorAscii" w:hAnsiTheme="minorAscii"/>
                <w:sz w:val="22"/>
                <w:szCs w:val="22"/>
                <w:highlight w:val="red"/>
              </w:rPr>
            </w:pPr>
            <w:r w:rsidRPr="4856263D" w:rsidR="4856263D">
              <w:rPr>
                <w:rFonts w:ascii="Calibri" w:hAnsi="Calibri" w:asciiTheme="minorAscii" w:hAnsiTheme="minorAscii"/>
                <w:b w:val="1"/>
                <w:bCs w:val="1"/>
                <w:sz w:val="22"/>
                <w:szCs w:val="22"/>
                <w:highlight w:val="red"/>
              </w:rPr>
              <w:t>male</w:t>
            </w:r>
          </w:p>
        </w:tc>
      </w:tr>
      <w:tr w:rsidRPr="009D230E" w:rsidR="00CE6EE8" w:rsidTr="4856263D" w14:paraId="051EA844" w14:textId="77777777">
        <w:trPr>
          <w:trHeight w:val="584"/>
        </w:trPr>
        <w:tc>
          <w:tcPr>
            <w:tcW w:w="980" w:type="dxa"/>
            <w:tcBorders>
              <w:top w:val="single" w:color="000000" w:themeColor="text1" w:sz="8" w:space="0"/>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7F0AC210" w14:textId="77777777">
            <w:pPr>
              <w:rPr>
                <w:rFonts w:ascii="Calibri" w:hAnsi="Calibri" w:asciiTheme="minorAscii" w:hAnsiTheme="minorAscii"/>
                <w:sz w:val="22"/>
                <w:szCs w:val="22"/>
                <w:highlight w:val="red"/>
              </w:rPr>
            </w:pPr>
            <w:r w:rsidRPr="4856263D" w:rsidR="4856263D">
              <w:rPr>
                <w:rFonts w:ascii="Calibri" w:hAnsi="Calibri" w:asciiTheme="minorAscii" w:hAnsiTheme="minorAscii"/>
                <w:sz w:val="22"/>
                <w:szCs w:val="22"/>
                <w:highlight w:val="red"/>
              </w:rPr>
              <w:t>A</w:t>
            </w:r>
            <w:r w:rsidRPr="4856263D" w:rsidR="4856263D">
              <w:rPr>
                <w:rFonts w:ascii="Calibri" w:hAnsi="Calibri" w:asciiTheme="minorAscii" w:hAnsiTheme="minorAscii"/>
                <w:sz w:val="22"/>
                <w:szCs w:val="22"/>
                <w:highlight w:val="red"/>
                <w:vertAlign w:val="subscript"/>
              </w:rPr>
              <w:t>1</w:t>
            </w:r>
            <w:r w:rsidRPr="4856263D" w:rsidR="4856263D">
              <w:rPr>
                <w:rFonts w:ascii="Calibri" w:hAnsi="Calibri" w:asciiTheme="minorAscii" w:hAnsiTheme="minorAscii"/>
                <w:sz w:val="22"/>
                <w:szCs w:val="22"/>
                <w:highlight w:val="red"/>
              </w:rPr>
              <w:t>A</w:t>
            </w:r>
            <w:r w:rsidRPr="4856263D" w:rsidR="4856263D">
              <w:rPr>
                <w:rFonts w:ascii="Calibri" w:hAnsi="Calibri" w:asciiTheme="minorAscii" w:hAnsiTheme="minorAscii"/>
                <w:sz w:val="22"/>
                <w:szCs w:val="22"/>
                <w:highlight w:val="red"/>
                <w:vertAlign w:val="subscript"/>
              </w:rPr>
              <w:t>1</w:t>
            </w:r>
          </w:p>
        </w:tc>
        <w:tc>
          <w:tcPr>
            <w:tcW w:w="1480" w:type="dxa"/>
            <w:tcBorders>
              <w:top w:val="single" w:color="000000" w:themeColor="text1" w:sz="8" w:space="0"/>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5AC3DED1" w14:textId="77777777">
            <w:pPr>
              <w:jc w:val="center"/>
              <w:rPr>
                <w:rFonts w:ascii="Calibri" w:hAnsi="Calibri" w:asciiTheme="minorAscii" w:hAnsiTheme="minorAscii"/>
                <w:sz w:val="22"/>
                <w:szCs w:val="22"/>
                <w:highlight w:val="red"/>
              </w:rPr>
            </w:pPr>
            <m:oMathPara>
              <m:oMathParaPr>
                <m:jc m:val="centerGroup"/>
              </m:oMathParaPr>
              <m:oMath>
                <m:r>
                  <w:rPr>
                    <w:rFonts w:ascii="Cambria Math" w:hAnsi="Cambria Math"/>
                    <w:sz w:val="22"/>
                    <w:szCs w:val="22"/>
                  </w:rPr>
                  <m:t>1</m:t>
                </m:r>
              </m:oMath>
            </m:oMathPara>
          </w:p>
        </w:tc>
        <w:tc>
          <w:tcPr>
            <w:tcW w:w="740" w:type="dxa"/>
            <w:tcBorders>
              <w:top w:val="single" w:color="000000" w:themeColor="text1" w:sz="8" w:space="0"/>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2747CD45" w14:textId="77777777">
            <w:pPr>
              <w:rPr>
                <w:rFonts w:ascii="Calibri" w:hAnsi="Calibri" w:asciiTheme="minorAscii" w:hAnsiTheme="minorAscii"/>
                <w:sz w:val="22"/>
                <w:szCs w:val="22"/>
                <w:highlight w:val="red"/>
              </w:rPr>
            </w:pPr>
          </w:p>
        </w:tc>
        <w:tc>
          <w:tcPr>
            <w:tcW w:w="740" w:type="dxa"/>
            <w:tcBorders>
              <w:top w:val="single" w:color="000000" w:themeColor="text1" w:sz="8" w:space="0"/>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089AA5A3" w14:textId="77777777">
            <w:pPr>
              <w:rPr>
                <w:rFonts w:ascii="Calibri" w:hAnsi="Calibri" w:asciiTheme="minorAscii" w:hAnsiTheme="minorAscii"/>
                <w:sz w:val="22"/>
                <w:szCs w:val="22"/>
                <w:highlight w:val="red"/>
              </w:rPr>
            </w:pPr>
            <w:r w:rsidRPr="4856263D" w:rsidR="4856263D">
              <w:rPr>
                <w:rFonts w:ascii="Calibri" w:hAnsi="Calibri" w:asciiTheme="minorAscii" w:hAnsiTheme="minorAscii"/>
                <w:sz w:val="22"/>
                <w:szCs w:val="22"/>
                <w:highlight w:val="red"/>
              </w:rPr>
              <w:t>A</w:t>
            </w:r>
            <w:r w:rsidRPr="4856263D" w:rsidR="4856263D">
              <w:rPr>
                <w:rFonts w:ascii="Calibri" w:hAnsi="Calibri" w:asciiTheme="minorAscii" w:hAnsiTheme="minorAscii"/>
                <w:sz w:val="22"/>
                <w:szCs w:val="22"/>
                <w:highlight w:val="red"/>
                <w:vertAlign w:val="subscript"/>
              </w:rPr>
              <w:t>1</w:t>
            </w:r>
          </w:p>
        </w:tc>
        <w:tc>
          <w:tcPr>
            <w:tcW w:w="1380" w:type="dxa"/>
            <w:tcBorders>
              <w:top w:val="single" w:color="000000" w:themeColor="text1" w:sz="8" w:space="0"/>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2FD12253" w14:textId="77777777">
            <w:pPr>
              <w:jc w:val="center"/>
              <w:rPr>
                <w:rFonts w:ascii="Calibri" w:hAnsi="Calibri" w:asciiTheme="minorAscii" w:hAnsiTheme="minorAscii"/>
                <w:sz w:val="22"/>
                <w:szCs w:val="22"/>
                <w:highlight w:val="red"/>
              </w:rPr>
            </w:pPr>
            <m:oMathPara>
              <m:oMathParaPr>
                <m:jc m:val="centerGroup"/>
              </m:oMathParaPr>
              <m:oMath>
                <m:r>
                  <w:rPr>
                    <w:rFonts w:ascii="Cambria Math" w:hAnsi="Cambria Math"/>
                    <w:sz w:val="22"/>
                    <w:szCs w:val="22"/>
                  </w:rPr>
                  <m:t>1</m:t>
                </m:r>
              </m:oMath>
            </m:oMathPara>
          </w:p>
        </w:tc>
      </w:tr>
      <w:tr w:rsidRPr="009D230E" w:rsidR="00CE6EE8" w:rsidTr="4856263D" w14:paraId="13A434EF" w14:textId="77777777">
        <w:trPr>
          <w:trHeight w:val="584"/>
        </w:trPr>
        <w:tc>
          <w:tcPr>
            <w:tcW w:w="980" w:type="dxa"/>
            <w:tcBorders>
              <w:top w:val="nil"/>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0429F194" w14:textId="77777777">
            <w:pPr>
              <w:rPr>
                <w:rFonts w:ascii="Calibri" w:hAnsi="Calibri" w:asciiTheme="minorAscii" w:hAnsiTheme="minorAscii"/>
                <w:sz w:val="22"/>
                <w:szCs w:val="22"/>
                <w:highlight w:val="red"/>
              </w:rPr>
            </w:pPr>
            <w:r w:rsidRPr="4856263D" w:rsidR="4856263D">
              <w:rPr>
                <w:rFonts w:ascii="Calibri" w:hAnsi="Calibri" w:asciiTheme="minorAscii" w:hAnsiTheme="minorAscii"/>
                <w:sz w:val="22"/>
                <w:szCs w:val="22"/>
                <w:highlight w:val="red"/>
              </w:rPr>
              <w:t>A</w:t>
            </w:r>
            <w:r w:rsidRPr="4856263D" w:rsidR="4856263D">
              <w:rPr>
                <w:rFonts w:ascii="Calibri" w:hAnsi="Calibri" w:asciiTheme="minorAscii" w:hAnsiTheme="minorAscii"/>
                <w:sz w:val="22"/>
                <w:szCs w:val="22"/>
                <w:highlight w:val="red"/>
                <w:vertAlign w:val="subscript"/>
              </w:rPr>
              <w:t>1</w:t>
            </w:r>
            <w:r w:rsidRPr="4856263D" w:rsidR="4856263D">
              <w:rPr>
                <w:rFonts w:ascii="Calibri" w:hAnsi="Calibri" w:asciiTheme="minorAscii" w:hAnsiTheme="minorAscii"/>
                <w:sz w:val="22"/>
                <w:szCs w:val="22"/>
                <w:highlight w:val="red"/>
              </w:rPr>
              <w:t>A</w:t>
            </w:r>
            <w:r w:rsidRPr="4856263D" w:rsidR="4856263D">
              <w:rPr>
                <w:rFonts w:ascii="Calibri" w:hAnsi="Calibri" w:asciiTheme="minorAscii" w:hAnsiTheme="minorAscii"/>
                <w:sz w:val="22"/>
                <w:szCs w:val="22"/>
                <w:highlight w:val="red"/>
                <w:vertAlign w:val="subscript"/>
              </w:rPr>
              <w:t>2</w:t>
            </w:r>
          </w:p>
        </w:tc>
        <w:tc>
          <w:tcPr>
            <w:tcW w:w="1480" w:type="dxa"/>
            <w:tcBorders>
              <w:top w:val="nil"/>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58256912" w14:textId="77777777">
            <w:pPr>
              <w:jc w:val="center"/>
              <w:rPr>
                <w:rFonts w:ascii="Calibri" w:hAnsi="Calibri" w:asciiTheme="minorAscii" w:hAnsiTheme="minorAscii"/>
                <w:sz w:val="22"/>
                <w:szCs w:val="22"/>
                <w:highlight w:val="red"/>
              </w:rPr>
            </w:pPr>
            <m:oMathPara>
              <m:oMathParaPr>
                <m:jc m:val="centerGroup"/>
              </m:oMathParaPr>
              <m:oMath>
                <m:r>
                  <w:rPr>
                    <w:rFonts w:ascii="Cambria Math" w:hAnsi="Cambria Math"/>
                    <w:sz w:val="22"/>
                    <w:szCs w:val="22"/>
                  </w:rPr>
                  <m:t>1+</m:t>
                </m:r>
                <m:r>
                  <w:rPr>
                    <w:rFonts w:ascii="Cambria Math" w:hAnsi="Cambria Math"/>
                    <w:sz w:val="22"/>
                    <w:szCs w:val="22"/>
                  </w:rPr>
                  <m:t>hs</m:t>
                </m:r>
              </m:oMath>
            </m:oMathPara>
          </w:p>
        </w:tc>
        <w:tc>
          <w:tcPr>
            <w:tcW w:w="740" w:type="dxa"/>
            <w:tcBorders>
              <w:top w:val="nil"/>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2E3CBB1F" w14:textId="77777777">
            <w:pPr>
              <w:rPr>
                <w:rFonts w:ascii="Calibri" w:hAnsi="Calibri" w:asciiTheme="minorAscii" w:hAnsiTheme="minorAscii"/>
                <w:sz w:val="22"/>
                <w:szCs w:val="22"/>
                <w:highlight w:val="red"/>
              </w:rPr>
            </w:pPr>
          </w:p>
        </w:tc>
        <w:tc>
          <w:tcPr>
            <w:tcW w:w="740" w:type="dxa"/>
            <w:tcBorders>
              <w:top w:val="nil"/>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6AE35718" w14:textId="77777777">
            <w:pPr>
              <w:rPr>
                <w:rFonts w:ascii="Calibri" w:hAnsi="Calibri" w:asciiTheme="minorAscii" w:hAnsiTheme="minorAscii"/>
                <w:sz w:val="22"/>
                <w:szCs w:val="22"/>
                <w:highlight w:val="red"/>
              </w:rPr>
            </w:pPr>
          </w:p>
        </w:tc>
        <w:tc>
          <w:tcPr>
            <w:tcW w:w="1380" w:type="dxa"/>
            <w:tcBorders>
              <w:top w:val="nil"/>
              <w:left w:val="nil"/>
              <w:bottom w:val="nil"/>
              <w:right w:val="nil"/>
            </w:tcBorders>
            <w:shd w:val="clear" w:color="auto" w:fill="auto"/>
            <w:tcMar>
              <w:top w:w="72" w:type="dxa"/>
              <w:left w:w="144" w:type="dxa"/>
              <w:bottom w:w="72" w:type="dxa"/>
              <w:right w:w="144" w:type="dxa"/>
            </w:tcMar>
            <w:vAlign w:val="center"/>
            <w:hideMark/>
          </w:tcPr>
          <w:p w:rsidRPr="009D230E" w:rsidR="00CE6EE8" w:rsidP="4856263D" w:rsidRDefault="00CE6EE8" w14:paraId="2E9134D2" w14:textId="77777777">
            <w:pPr>
              <w:rPr>
                <w:rFonts w:ascii="Calibri" w:hAnsi="Calibri" w:asciiTheme="minorAscii" w:hAnsiTheme="minorAscii"/>
                <w:sz w:val="22"/>
                <w:szCs w:val="22"/>
                <w:highlight w:val="red"/>
              </w:rPr>
            </w:pPr>
          </w:p>
        </w:tc>
      </w:tr>
      <w:tr w:rsidRPr="009D230E" w:rsidR="00CE6EE8" w:rsidTr="4856263D" w14:paraId="3CB2FEDE" w14:textId="77777777">
        <w:trPr>
          <w:trHeight w:val="584"/>
        </w:trPr>
        <w:tc>
          <w:tcPr>
            <w:tcW w:w="980" w:type="dxa"/>
            <w:tcBorders>
              <w:top w:val="nil"/>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1D8F63BB" w14:textId="77777777">
            <w:pPr>
              <w:rPr>
                <w:rFonts w:ascii="Calibri" w:hAnsi="Calibri" w:asciiTheme="minorAscii" w:hAnsiTheme="minorAscii"/>
                <w:sz w:val="22"/>
                <w:szCs w:val="22"/>
                <w:highlight w:val="red"/>
              </w:rPr>
            </w:pPr>
            <w:r w:rsidRPr="4856263D" w:rsidR="4856263D">
              <w:rPr>
                <w:rFonts w:ascii="Calibri" w:hAnsi="Calibri" w:asciiTheme="minorAscii" w:hAnsiTheme="minorAscii"/>
                <w:sz w:val="22"/>
                <w:szCs w:val="22"/>
                <w:highlight w:val="red"/>
              </w:rPr>
              <w:t>A</w:t>
            </w:r>
            <w:r w:rsidRPr="4856263D" w:rsidR="4856263D">
              <w:rPr>
                <w:rFonts w:ascii="Calibri" w:hAnsi="Calibri" w:asciiTheme="minorAscii" w:hAnsiTheme="minorAscii"/>
                <w:sz w:val="22"/>
                <w:szCs w:val="22"/>
                <w:highlight w:val="red"/>
                <w:vertAlign w:val="subscript"/>
              </w:rPr>
              <w:t>2</w:t>
            </w:r>
            <w:r w:rsidRPr="4856263D" w:rsidR="4856263D">
              <w:rPr>
                <w:rFonts w:ascii="Calibri" w:hAnsi="Calibri" w:asciiTheme="minorAscii" w:hAnsiTheme="minorAscii"/>
                <w:sz w:val="22"/>
                <w:szCs w:val="22"/>
                <w:highlight w:val="red"/>
              </w:rPr>
              <w:t>A</w:t>
            </w:r>
            <w:r w:rsidRPr="4856263D" w:rsidR="4856263D">
              <w:rPr>
                <w:rFonts w:ascii="Calibri" w:hAnsi="Calibri" w:asciiTheme="minorAscii" w:hAnsiTheme="minorAscii"/>
                <w:sz w:val="22"/>
                <w:szCs w:val="22"/>
                <w:highlight w:val="red"/>
                <w:vertAlign w:val="subscript"/>
              </w:rPr>
              <w:t>2</w:t>
            </w:r>
          </w:p>
        </w:tc>
        <w:tc>
          <w:tcPr>
            <w:tcW w:w="1480" w:type="dxa"/>
            <w:tcBorders>
              <w:top w:val="nil"/>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20F1CB89" w14:textId="77777777">
            <w:pPr>
              <w:jc w:val="center"/>
              <w:rPr>
                <w:rFonts w:ascii="Calibri" w:hAnsi="Calibri" w:asciiTheme="minorAscii" w:hAnsiTheme="minorAscii"/>
                <w:sz w:val="22"/>
                <w:szCs w:val="22"/>
                <w:highlight w:val="red"/>
              </w:rPr>
            </w:pPr>
            <m:oMathPara>
              <m:oMathParaPr>
                <m:jc m:val="centerGroup"/>
              </m:oMathParaPr>
              <m:oMath>
                <m:r>
                  <w:rPr>
                    <w:rFonts w:ascii="Cambria Math" w:hAnsi="Cambria Math"/>
                    <w:sz w:val="22"/>
                    <w:szCs w:val="22"/>
                  </w:rPr>
                  <m:t>1+s</m:t>
                </m:r>
              </m:oMath>
            </m:oMathPara>
          </w:p>
        </w:tc>
        <w:tc>
          <w:tcPr>
            <w:tcW w:w="740" w:type="dxa"/>
            <w:tcBorders>
              <w:top w:val="nil"/>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771A0EFF" w14:textId="77777777">
            <w:pPr>
              <w:rPr>
                <w:rFonts w:ascii="Calibri" w:hAnsi="Calibri" w:asciiTheme="minorAscii" w:hAnsiTheme="minorAscii"/>
                <w:sz w:val="22"/>
                <w:szCs w:val="22"/>
                <w:highlight w:val="red"/>
              </w:rPr>
            </w:pPr>
          </w:p>
        </w:tc>
        <w:tc>
          <w:tcPr>
            <w:tcW w:w="740" w:type="dxa"/>
            <w:tcBorders>
              <w:top w:val="nil"/>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3DBE50BC" w14:textId="77777777">
            <w:pPr>
              <w:rPr>
                <w:rFonts w:ascii="Calibri" w:hAnsi="Calibri" w:asciiTheme="minorAscii" w:hAnsiTheme="minorAscii"/>
                <w:sz w:val="22"/>
                <w:szCs w:val="22"/>
                <w:highlight w:val="red"/>
              </w:rPr>
            </w:pPr>
            <w:r w:rsidRPr="4856263D" w:rsidR="4856263D">
              <w:rPr>
                <w:rFonts w:ascii="Calibri" w:hAnsi="Calibri" w:asciiTheme="minorAscii" w:hAnsiTheme="minorAscii"/>
                <w:sz w:val="22"/>
                <w:szCs w:val="22"/>
                <w:highlight w:val="red"/>
              </w:rPr>
              <w:t>A</w:t>
            </w:r>
            <w:r w:rsidRPr="4856263D" w:rsidR="4856263D">
              <w:rPr>
                <w:rFonts w:ascii="Calibri" w:hAnsi="Calibri" w:asciiTheme="minorAscii" w:hAnsiTheme="minorAscii"/>
                <w:sz w:val="22"/>
                <w:szCs w:val="22"/>
                <w:highlight w:val="red"/>
                <w:vertAlign w:val="subscript"/>
              </w:rPr>
              <w:t>2</w:t>
            </w:r>
          </w:p>
        </w:tc>
        <w:tc>
          <w:tcPr>
            <w:tcW w:w="1380" w:type="dxa"/>
            <w:tcBorders>
              <w:top w:val="nil"/>
              <w:left w:val="nil"/>
              <w:bottom w:val="single" w:color="000000" w:themeColor="text1" w:sz="8" w:space="0"/>
              <w:right w:val="nil"/>
            </w:tcBorders>
            <w:shd w:val="clear" w:color="auto" w:fill="auto"/>
            <w:tcMar>
              <w:top w:w="72" w:type="dxa"/>
              <w:left w:w="144" w:type="dxa"/>
              <w:bottom w:w="72" w:type="dxa"/>
              <w:right w:w="144" w:type="dxa"/>
            </w:tcMar>
            <w:vAlign w:val="center"/>
            <w:hideMark/>
          </w:tcPr>
          <w:p w:rsidRPr="009D230E" w:rsidR="00CE6EE8" w:rsidP="4856263D" w:rsidRDefault="00CE6EE8" w14:paraId="492C1F21" w14:textId="77777777">
            <w:pPr>
              <w:jc w:val="center"/>
              <w:rPr>
                <w:rFonts w:ascii="Calibri" w:hAnsi="Calibri" w:asciiTheme="minorAscii" w:hAnsiTheme="minorAscii"/>
                <w:sz w:val="22"/>
                <w:szCs w:val="22"/>
                <w:highlight w:val="red"/>
              </w:rPr>
            </w:pPr>
            <m:oMathPara>
              <m:oMathParaPr>
                <m:jc m:val="centerGroup"/>
              </m:oMathParaPr>
              <m:oMath>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1+s</m:t>
                    </m:r>
                  </m:den>
                </m:f>
              </m:oMath>
            </m:oMathPara>
          </w:p>
        </w:tc>
      </w:tr>
    </w:tbl>
    <w:p w:rsidR="00CE6EE8" w:rsidP="4856263D" w:rsidRDefault="00CE6EE8" w14:paraId="39E8683C" w14:textId="77777777">
      <w:pPr>
        <w:rPr>
          <w:sz w:val="22"/>
          <w:szCs w:val="22"/>
          <w:highlight w:val="red"/>
        </w:rPr>
      </w:pPr>
    </w:p>
    <w:p w:rsidRPr="009D230E" w:rsidR="00CE6EE8" w:rsidP="4856263D" w:rsidRDefault="00CE6EE8" w14:paraId="23F39A9E" w14:textId="77777777">
      <w:pPr>
        <w:rPr>
          <w:sz w:val="22"/>
          <w:szCs w:val="22"/>
          <w:highlight w:val="red"/>
        </w:rPr>
      </w:pPr>
      <w:r w:rsidRPr="4856263D" w:rsidR="4856263D">
        <w:rPr>
          <w:b w:val="1"/>
          <w:bCs w:val="1"/>
          <w:sz w:val="22"/>
          <w:szCs w:val="22"/>
          <w:highlight w:val="red"/>
        </w:rPr>
        <w:t xml:space="preserve">Table 2: </w:t>
      </w:r>
      <w:r w:rsidRPr="4856263D" w:rsidR="4856263D">
        <w:rPr>
          <w:sz w:val="22"/>
          <w:szCs w:val="22"/>
          <w:highlight w:val="red"/>
        </w:rPr>
        <w:t xml:space="preserve">Fitness function for haplodiploid simulations. The first column contains all the genotypes females can exhibit. The third column has the male genotypes. The selection coefficient is denoted by </w:t>
      </w:r>
      <w:r w:rsidRPr="4856263D" w:rsidR="4856263D">
        <w:rPr>
          <w:i w:val="1"/>
          <w:iCs w:val="1"/>
          <w:sz w:val="22"/>
          <w:szCs w:val="22"/>
          <w:highlight w:val="red"/>
        </w:rPr>
        <w:t xml:space="preserve">s </w:t>
      </w:r>
      <w:r w:rsidRPr="4856263D" w:rsidR="4856263D">
        <w:rPr>
          <w:sz w:val="22"/>
          <w:szCs w:val="22"/>
          <w:highlight w:val="red"/>
        </w:rPr>
        <w:t xml:space="preserve">and the dominance factor by </w:t>
      </w:r>
      <w:r w:rsidRPr="4856263D" w:rsidR="4856263D">
        <w:rPr>
          <w:i w:val="1"/>
          <w:iCs w:val="1"/>
          <w:sz w:val="22"/>
          <w:szCs w:val="22"/>
          <w:highlight w:val="red"/>
        </w:rPr>
        <w:t>h</w:t>
      </w:r>
      <w:r w:rsidRPr="4856263D" w:rsidR="4856263D">
        <w:rPr>
          <w:sz w:val="22"/>
          <w:szCs w:val="22"/>
          <w:highlight w:val="red"/>
        </w:rPr>
        <w:t>.</w:t>
      </w:r>
    </w:p>
    <w:p w:rsidR="00C93B5E" w:rsidP="4856263D" w:rsidRDefault="00C93B5E" w14:paraId="537F6A8D" w14:textId="77777777">
      <w:pPr>
        <w:rPr>
          <w:highlight w:val="red"/>
        </w:rPr>
      </w:pPr>
      <w:bookmarkStart w:name="_GoBack" w:id="1"/>
      <w:bookmarkEnd w:id="1"/>
    </w:p>
    <w:sectPr w:rsidR="00C93B5E" w:rsidSect="001C202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HB" w:author="Heath Blackmon" w:date="2019-11-26T11:02:00Z" w:id="0">
    <w:p w:rsidR="00CE6EE8" w:rsidP="00CE6EE8" w:rsidRDefault="00CE6EE8" w14:paraId="5F41FB1E" w14:textId="77777777">
      <w:pPr>
        <w:pStyle w:val="CommentText"/>
      </w:pPr>
      <w:r>
        <w:rPr>
          <w:rStyle w:val="CommentReference"/>
        </w:rPr>
        <w:annotationRef/>
      </w:r>
      <w:r>
        <w:t>Make sure that Beta and N are integrated into the discussion of maodel parameter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41F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41FB1E" w16cid:durableId="218784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E8"/>
    <w:rsid w:val="0005170C"/>
    <w:rsid w:val="00054C48"/>
    <w:rsid w:val="0006404E"/>
    <w:rsid w:val="00066A1A"/>
    <w:rsid w:val="000807E6"/>
    <w:rsid w:val="000E1315"/>
    <w:rsid w:val="00111160"/>
    <w:rsid w:val="0011635B"/>
    <w:rsid w:val="001350BF"/>
    <w:rsid w:val="00175F08"/>
    <w:rsid w:val="00176477"/>
    <w:rsid w:val="001A58E6"/>
    <w:rsid w:val="001C1C65"/>
    <w:rsid w:val="001C202D"/>
    <w:rsid w:val="00200FDB"/>
    <w:rsid w:val="0020185F"/>
    <w:rsid w:val="00214062"/>
    <w:rsid w:val="0026755B"/>
    <w:rsid w:val="002C34CC"/>
    <w:rsid w:val="00303E63"/>
    <w:rsid w:val="00317474"/>
    <w:rsid w:val="00324965"/>
    <w:rsid w:val="00333C23"/>
    <w:rsid w:val="003572A1"/>
    <w:rsid w:val="003A026E"/>
    <w:rsid w:val="003A0E32"/>
    <w:rsid w:val="003A7D42"/>
    <w:rsid w:val="003C030C"/>
    <w:rsid w:val="0042421D"/>
    <w:rsid w:val="00446371"/>
    <w:rsid w:val="00447512"/>
    <w:rsid w:val="00471D96"/>
    <w:rsid w:val="004776C4"/>
    <w:rsid w:val="004800C4"/>
    <w:rsid w:val="004907FF"/>
    <w:rsid w:val="00491E1B"/>
    <w:rsid w:val="004932A6"/>
    <w:rsid w:val="004A2683"/>
    <w:rsid w:val="00504893"/>
    <w:rsid w:val="005077CD"/>
    <w:rsid w:val="0053486B"/>
    <w:rsid w:val="005602BF"/>
    <w:rsid w:val="00567DD9"/>
    <w:rsid w:val="00573466"/>
    <w:rsid w:val="005778E9"/>
    <w:rsid w:val="005D0413"/>
    <w:rsid w:val="005D1700"/>
    <w:rsid w:val="005F041B"/>
    <w:rsid w:val="006048CD"/>
    <w:rsid w:val="00607A5F"/>
    <w:rsid w:val="00623128"/>
    <w:rsid w:val="00637DC4"/>
    <w:rsid w:val="00664851"/>
    <w:rsid w:val="006F59FF"/>
    <w:rsid w:val="00707AD5"/>
    <w:rsid w:val="007639CC"/>
    <w:rsid w:val="0077342E"/>
    <w:rsid w:val="00780820"/>
    <w:rsid w:val="00792A44"/>
    <w:rsid w:val="007B0810"/>
    <w:rsid w:val="007B3992"/>
    <w:rsid w:val="007C0765"/>
    <w:rsid w:val="007D29F2"/>
    <w:rsid w:val="007F509A"/>
    <w:rsid w:val="0080654E"/>
    <w:rsid w:val="00852BE1"/>
    <w:rsid w:val="008750CE"/>
    <w:rsid w:val="00876232"/>
    <w:rsid w:val="008D2F4B"/>
    <w:rsid w:val="009167C5"/>
    <w:rsid w:val="0092154E"/>
    <w:rsid w:val="0092694A"/>
    <w:rsid w:val="0098366C"/>
    <w:rsid w:val="009A0CD5"/>
    <w:rsid w:val="009A3531"/>
    <w:rsid w:val="009A696C"/>
    <w:rsid w:val="009B623D"/>
    <w:rsid w:val="009C2CE0"/>
    <w:rsid w:val="00A17DFC"/>
    <w:rsid w:val="00A24857"/>
    <w:rsid w:val="00A30C1B"/>
    <w:rsid w:val="00A331FB"/>
    <w:rsid w:val="00A408D4"/>
    <w:rsid w:val="00A54F8C"/>
    <w:rsid w:val="00A733AB"/>
    <w:rsid w:val="00A825BD"/>
    <w:rsid w:val="00A908AA"/>
    <w:rsid w:val="00AB5951"/>
    <w:rsid w:val="00AD783C"/>
    <w:rsid w:val="00AE02BB"/>
    <w:rsid w:val="00AE3CE6"/>
    <w:rsid w:val="00AF1F34"/>
    <w:rsid w:val="00B31CDA"/>
    <w:rsid w:val="00B40E20"/>
    <w:rsid w:val="00B7020E"/>
    <w:rsid w:val="00B76BDA"/>
    <w:rsid w:val="00BA5A10"/>
    <w:rsid w:val="00BB4449"/>
    <w:rsid w:val="00BC204E"/>
    <w:rsid w:val="00C33DB9"/>
    <w:rsid w:val="00C63D95"/>
    <w:rsid w:val="00C70897"/>
    <w:rsid w:val="00C72216"/>
    <w:rsid w:val="00C82BB7"/>
    <w:rsid w:val="00C93B5E"/>
    <w:rsid w:val="00CE56D1"/>
    <w:rsid w:val="00CE5E7D"/>
    <w:rsid w:val="00CE6EE8"/>
    <w:rsid w:val="00CE7474"/>
    <w:rsid w:val="00CF3526"/>
    <w:rsid w:val="00D0196B"/>
    <w:rsid w:val="00D3411B"/>
    <w:rsid w:val="00D52807"/>
    <w:rsid w:val="00E27C38"/>
    <w:rsid w:val="00E32A3C"/>
    <w:rsid w:val="00E8124D"/>
    <w:rsid w:val="00E97A15"/>
    <w:rsid w:val="00EA2A23"/>
    <w:rsid w:val="00EB2EFE"/>
    <w:rsid w:val="00EE5FF9"/>
    <w:rsid w:val="00EF3A32"/>
    <w:rsid w:val="00EF6766"/>
    <w:rsid w:val="00F3121F"/>
    <w:rsid w:val="00F776F0"/>
    <w:rsid w:val="00FB56F7"/>
    <w:rsid w:val="00FB737F"/>
    <w:rsid w:val="00FC59BA"/>
    <w:rsid w:val="00FD6F78"/>
    <w:rsid w:val="4856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1919"/>
  <w14:defaultImageDpi w14:val="32767"/>
  <w15:chartTrackingRefBased/>
  <w15:docId w15:val="{9E0472C2-1AA2-7D43-8381-C019C522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E6EE8"/>
    <w:rPr>
      <w:rFonts w:ascii="Times New Roman" w:hAnsi="Times New Roman" w:eastAsia="Times New Roman" w:cs="Times New Roman"/>
    </w:rPr>
  </w:style>
  <w:style w:type="paragraph" w:styleId="Heading1">
    <w:name w:val="heading 1"/>
    <w:basedOn w:val="Normal"/>
    <w:next w:val="Normal"/>
    <w:link w:val="Heading1Char"/>
    <w:uiPriority w:val="9"/>
    <w:qFormat/>
    <w:rsid w:val="00CE6EE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EE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E6EE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E6EE8"/>
    <w:rPr>
      <w:rFonts w:asciiTheme="majorHAnsi" w:hAnsiTheme="majorHAnsi" w:eastAsiaTheme="majorEastAsia" w:cstheme="majorBidi"/>
      <w:color w:val="2F5496" w:themeColor="accent1" w:themeShade="BF"/>
      <w:sz w:val="26"/>
      <w:szCs w:val="26"/>
    </w:rPr>
  </w:style>
  <w:style w:type="character" w:styleId="CommentReference">
    <w:name w:val="annotation reference"/>
    <w:basedOn w:val="DefaultParagraphFont"/>
    <w:uiPriority w:val="99"/>
    <w:semiHidden/>
    <w:unhideWhenUsed/>
    <w:rsid w:val="00CE6EE8"/>
    <w:rPr>
      <w:sz w:val="16"/>
      <w:szCs w:val="16"/>
    </w:rPr>
  </w:style>
  <w:style w:type="paragraph" w:styleId="CommentText">
    <w:name w:val="annotation text"/>
    <w:basedOn w:val="Normal"/>
    <w:link w:val="CommentTextChar"/>
    <w:uiPriority w:val="99"/>
    <w:semiHidden/>
    <w:unhideWhenUsed/>
    <w:rsid w:val="00CE6EE8"/>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CE6EE8"/>
    <w:rPr>
      <w:sz w:val="20"/>
      <w:szCs w:val="20"/>
    </w:rPr>
  </w:style>
  <w:style w:type="paragraph" w:styleId="BalloonText">
    <w:name w:val="Balloon Text"/>
    <w:basedOn w:val="Normal"/>
    <w:link w:val="BalloonTextChar"/>
    <w:uiPriority w:val="99"/>
    <w:semiHidden/>
    <w:unhideWhenUsed/>
    <w:rsid w:val="00CE6EE8"/>
    <w:rPr>
      <w:sz w:val="18"/>
      <w:szCs w:val="18"/>
    </w:rPr>
  </w:style>
  <w:style w:type="character" w:styleId="BalloonTextChar" w:customStyle="1">
    <w:name w:val="Balloon Text Char"/>
    <w:basedOn w:val="DefaultParagraphFont"/>
    <w:link w:val="BalloonText"/>
    <w:uiPriority w:val="99"/>
    <w:semiHidden/>
    <w:rsid w:val="00CE6EE8"/>
    <w:rPr>
      <w:rFonts w:ascii="Times New Roman" w:hAnsi="Times New Roman"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Heath Blackmon</dc:creator>
  <keywords/>
  <dc:description/>
  <lastModifiedBy>R. David Gafford-Gaby</lastModifiedBy>
  <revision>2</revision>
  <dcterms:created xsi:type="dcterms:W3CDTF">2019-12-12T15:03:00.0000000Z</dcterms:created>
  <dcterms:modified xsi:type="dcterms:W3CDTF">2020-02-29T02:29:21.3548192Z</dcterms:modified>
</coreProperties>
</file>