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6F579" w14:textId="77777777" w:rsidR="00913A25" w:rsidRPr="00B37F4F" w:rsidRDefault="00913A25" w:rsidP="00913A25">
      <w:pPr>
        <w:rPr>
          <w:rFonts w:eastAsia="Times New Roman" w:cs="Times New Roman"/>
        </w:rPr>
      </w:pPr>
      <w:r w:rsidRPr="00B37F4F">
        <w:rPr>
          <w:rFonts w:eastAsia="Times New Roman" w:cs="Times New Roman"/>
        </w:rPr>
        <w:t>During simulations the frequency of alleles benefitting males or females may increase or decrease. For simplicity we report an average sex biasing statistic (</w:t>
      </w:r>
      <w:proofErr w:type="spellStart"/>
      <w:r w:rsidRPr="00B37F4F">
        <w:rPr>
          <w:rFonts w:eastAsia="Times New Roman" w:cs="Times New Roman"/>
          <w:b/>
        </w:rPr>
        <w:t>sbs</w:t>
      </w:r>
      <w:proofErr w:type="spellEnd"/>
      <w:r w:rsidRPr="00B37F4F">
        <w:rPr>
          <w:rFonts w:eastAsia="Times New Roman" w:cs="Times New Roman"/>
        </w:rPr>
        <w:t>) that ranges from negative one when all simulations fix the male benefiting allele to positive one when all simulations fix the female benefitting allele and takes on a value of zero when there is no sex bias in allele frequency. This is calculated as:</w:t>
      </w:r>
    </w:p>
    <w:p w14:paraId="0DE407E4" w14:textId="77777777" w:rsidR="00913A25" w:rsidRPr="00B37F4F" w:rsidRDefault="00913A25" w:rsidP="00913A25">
      <w:pPr>
        <w:rPr>
          <w:rFonts w:eastAsia="Times New Roman" w:cs="Times New Roman"/>
        </w:rPr>
      </w:pPr>
    </w:p>
    <w:p w14:paraId="000F5CA5" w14:textId="77777777" w:rsidR="00913A25" w:rsidRPr="00B37F4F" w:rsidRDefault="00913A25" w:rsidP="00913A25">
      <w:pPr>
        <w:rPr>
          <w:rFonts w:eastAsia="Times New Roman" w:cs="Times New Roman"/>
        </w:rPr>
      </w:pPr>
      <m:oMathPara>
        <m:oMath>
          <m:r>
            <w:rPr>
              <w:rFonts w:ascii="Cambria Math" w:eastAsia="Times New Roman" w:hAnsi="Cambria Math" w:cs="Times New Roman"/>
            </w:rPr>
            <m:t xml:space="preserve">sbs= </m:t>
          </m:r>
          <m:f>
            <m:fPr>
              <m:ctrlPr>
                <w:rPr>
                  <w:rFonts w:ascii="Cambria Math" w:eastAsia="Times New Roman" w:hAnsi="Cambria Math" w:cs="Times New Roman"/>
                  <w:i/>
                </w:rPr>
              </m:ctrlPr>
            </m:fPr>
            <m:num>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m:t>
                  </m:r>
                </m:sub>
                <m:sup>
                  <m:r>
                    <w:rPr>
                      <w:rFonts w:ascii="Cambria Math" w:eastAsia="Times New Roman" w:hAnsi="Cambria Math" w:cs="Times New Roman"/>
                    </w:rPr>
                    <m:t>n</m:t>
                  </m:r>
                </m:sup>
                <m:e>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r>
                    <w:rPr>
                      <w:rFonts w:ascii="Cambria Math" w:eastAsia="Times New Roman" w:hAnsi="Cambria Math" w:cs="Times New Roman"/>
                    </w:rPr>
                    <m:t>-1</m:t>
                  </m:r>
                </m:e>
              </m:nary>
            </m:num>
            <m:den>
              <m:r>
                <w:rPr>
                  <w:rFonts w:ascii="Cambria Math" w:eastAsia="Times New Roman" w:hAnsi="Cambria Math" w:cs="Times New Roman"/>
                </w:rPr>
                <m:t>n</m:t>
              </m:r>
            </m:den>
          </m:f>
        </m:oMath>
      </m:oMathPara>
    </w:p>
    <w:p w14:paraId="6861DCDD" w14:textId="77777777" w:rsidR="00913A25" w:rsidRPr="00B37F4F" w:rsidRDefault="00913A25" w:rsidP="00913A25">
      <w:pPr>
        <w:rPr>
          <w:rFonts w:eastAsia="Times New Roman" w:cs="Times New Roman"/>
        </w:rPr>
      </w:pPr>
    </w:p>
    <w:p w14:paraId="0D62E999" w14:textId="77777777" w:rsidR="00913A25" w:rsidRPr="00B37F4F" w:rsidRDefault="00913A25" w:rsidP="00913A25">
      <w:pPr>
        <w:rPr>
          <w:rFonts w:eastAsia="Times New Roman" w:cs="Times New Roman"/>
        </w:rPr>
      </w:pPr>
      <w:r w:rsidRPr="00B37F4F">
        <w:rPr>
          <w:rFonts w:eastAsia="Times New Roman" w:cs="Times New Roman"/>
        </w:rPr>
        <w:t xml:space="preserve"> Where </w:t>
      </w:r>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i</m:t>
            </m:r>
          </m:sub>
        </m:sSub>
      </m:oMath>
      <w:r w:rsidRPr="00B37F4F">
        <w:rPr>
          <w:rFonts w:eastAsia="Times New Roman" w:cs="Times New Roman"/>
        </w:rPr>
        <w:t xml:space="preserve"> is the frequency of the male benefit allele in simulation </w:t>
      </w:r>
      <m:oMath>
        <m:r>
          <w:rPr>
            <w:rFonts w:ascii="Cambria Math" w:eastAsia="Times New Roman" w:hAnsi="Cambria Math" w:cs="Times New Roman"/>
          </w:rPr>
          <m:t>i</m:t>
        </m:r>
      </m:oMath>
      <w:r w:rsidRPr="00B37F4F">
        <w:rPr>
          <w:rFonts w:eastAsia="Times New Roman" w:cs="Times New Roman"/>
        </w:rPr>
        <w:t xml:space="preserve"> and </w:t>
      </w:r>
      <m:oMath>
        <m:r>
          <w:rPr>
            <w:rFonts w:ascii="Cambria Math" w:eastAsia="Times New Roman" w:hAnsi="Cambria Math" w:cs="Times New Roman"/>
          </w:rPr>
          <m:t>n</m:t>
        </m:r>
      </m:oMath>
      <w:r w:rsidRPr="00B37F4F">
        <w:rPr>
          <w:rFonts w:eastAsia="Times New Roman" w:cs="Times New Roman"/>
        </w:rPr>
        <w:t xml:space="preserve"> is the number of </w:t>
      </w:r>
      <w:proofErr w:type="gramStart"/>
      <w:r w:rsidRPr="00B37F4F">
        <w:rPr>
          <w:rFonts w:eastAsia="Times New Roman" w:cs="Times New Roman"/>
        </w:rPr>
        <w:t>simulations.</w:t>
      </w:r>
      <w:proofErr w:type="gramEnd"/>
      <w:r w:rsidRPr="00B37F4F">
        <w:rPr>
          <w:rFonts w:eastAsia="Times New Roman" w:cs="Times New Roman"/>
        </w:rPr>
        <w:t xml:space="preserve"> For simulations that focus on autosomes we describe results in terms of a common sex and a rare sex since results for rare females or rare males are symmetrical. For sex chromosomes we discuss simulations with rare males and simulations with rare females since these have different dynamics. </w:t>
      </w:r>
    </w:p>
    <w:p w14:paraId="26A8557F" w14:textId="6A13AB9E" w:rsidR="00C93B5E" w:rsidRDefault="00C93B5E"/>
    <w:p w14:paraId="0FABAF88" w14:textId="4879B3CC" w:rsidR="00377C3F" w:rsidRDefault="00377C3F"/>
    <w:p w14:paraId="37A4FBEF" w14:textId="77777777" w:rsidR="00377C3F" w:rsidRPr="00B37F4F" w:rsidRDefault="00377C3F" w:rsidP="00377C3F"/>
    <w:p w14:paraId="4F61E341" w14:textId="77777777" w:rsidR="00377C3F" w:rsidRPr="00B37F4F" w:rsidRDefault="00377C3F" w:rsidP="00377C3F"/>
    <w:tbl>
      <w:tblPr>
        <w:tblW w:w="6946" w:type="dxa"/>
        <w:tblLayout w:type="fixed"/>
        <w:tblCellMar>
          <w:left w:w="0" w:type="dxa"/>
          <w:right w:w="0" w:type="dxa"/>
        </w:tblCellMar>
        <w:tblLook w:val="0420" w:firstRow="1" w:lastRow="0" w:firstColumn="0" w:lastColumn="0" w:noHBand="0" w:noVBand="1"/>
      </w:tblPr>
      <w:tblGrid>
        <w:gridCol w:w="709"/>
        <w:gridCol w:w="709"/>
        <w:gridCol w:w="70"/>
        <w:gridCol w:w="780"/>
        <w:gridCol w:w="779"/>
        <w:gridCol w:w="780"/>
        <w:gridCol w:w="780"/>
        <w:gridCol w:w="779"/>
        <w:gridCol w:w="780"/>
        <w:gridCol w:w="780"/>
      </w:tblGrid>
      <w:tr w:rsidR="00377C3F" w:rsidRPr="00B37F4F" w14:paraId="1878F797" w14:textId="77777777" w:rsidTr="003731F7">
        <w:trPr>
          <w:trHeight w:val="456"/>
        </w:trPr>
        <w:tc>
          <w:tcPr>
            <w:tcW w:w="709" w:type="dxa"/>
            <w:shd w:val="clear" w:color="auto" w:fill="auto"/>
            <w:tcMar>
              <w:top w:w="72" w:type="dxa"/>
              <w:left w:w="144" w:type="dxa"/>
              <w:bottom w:w="72" w:type="dxa"/>
              <w:right w:w="144" w:type="dxa"/>
            </w:tcMar>
            <w:vAlign w:val="center"/>
            <w:hideMark/>
          </w:tcPr>
          <w:p w14:paraId="79580FDF" w14:textId="77777777" w:rsidR="00377C3F" w:rsidRPr="00B37F4F" w:rsidRDefault="00377C3F" w:rsidP="003731F7">
            <w:pPr>
              <w:rPr>
                <w:sz w:val="22"/>
                <w:szCs w:val="22"/>
              </w:rPr>
            </w:pPr>
          </w:p>
        </w:tc>
        <w:tc>
          <w:tcPr>
            <w:tcW w:w="709" w:type="dxa"/>
            <w:shd w:val="clear" w:color="auto" w:fill="auto"/>
            <w:tcMar>
              <w:top w:w="72" w:type="dxa"/>
              <w:left w:w="144" w:type="dxa"/>
              <w:bottom w:w="72" w:type="dxa"/>
              <w:right w:w="144" w:type="dxa"/>
            </w:tcMar>
            <w:vAlign w:val="center"/>
            <w:hideMark/>
          </w:tcPr>
          <w:p w14:paraId="4265E75B" w14:textId="77777777" w:rsidR="00377C3F" w:rsidRPr="00B37F4F" w:rsidRDefault="00377C3F" w:rsidP="003731F7">
            <w:pPr>
              <w:rPr>
                <w:sz w:val="22"/>
                <w:szCs w:val="22"/>
              </w:rPr>
            </w:pPr>
          </w:p>
        </w:tc>
        <w:tc>
          <w:tcPr>
            <w:tcW w:w="5528" w:type="dxa"/>
            <w:gridSpan w:val="8"/>
            <w:shd w:val="clear" w:color="auto" w:fill="auto"/>
            <w:tcMar>
              <w:top w:w="72" w:type="dxa"/>
              <w:left w:w="144" w:type="dxa"/>
              <w:bottom w:w="72" w:type="dxa"/>
              <w:right w:w="144" w:type="dxa"/>
            </w:tcMar>
            <w:vAlign w:val="center"/>
            <w:hideMark/>
          </w:tcPr>
          <w:p w14:paraId="5A6965F3" w14:textId="77777777" w:rsidR="00377C3F" w:rsidRPr="00B37F4F" w:rsidRDefault="00377C3F" w:rsidP="003731F7">
            <w:pPr>
              <w:jc w:val="center"/>
              <w:rPr>
                <w:sz w:val="22"/>
                <w:szCs w:val="22"/>
              </w:rPr>
            </w:pPr>
            <w:r w:rsidRPr="00B37F4F">
              <w:rPr>
                <w:bCs/>
                <w:sz w:val="22"/>
                <w:szCs w:val="22"/>
              </w:rPr>
              <w:t>Ratio (</w:t>
            </w:r>
            <w:proofErr w:type="spellStart"/>
            <w:proofErr w:type="gramStart"/>
            <w:r w:rsidRPr="00B37F4F">
              <w:rPr>
                <w:bCs/>
                <w:sz w:val="22"/>
                <w:szCs w:val="22"/>
              </w:rPr>
              <w:t>rare:common</w:t>
            </w:r>
            <w:proofErr w:type="spellEnd"/>
            <w:proofErr w:type="gramEnd"/>
            <w:r w:rsidRPr="00B37F4F">
              <w:rPr>
                <w:bCs/>
                <w:sz w:val="22"/>
                <w:szCs w:val="22"/>
              </w:rPr>
              <w:t>)</w:t>
            </w:r>
          </w:p>
        </w:tc>
      </w:tr>
      <w:tr w:rsidR="00377C3F" w:rsidRPr="00B37F4F" w14:paraId="44BF8B3B" w14:textId="77777777" w:rsidTr="003731F7">
        <w:trPr>
          <w:trHeight w:val="272"/>
        </w:trPr>
        <w:tc>
          <w:tcPr>
            <w:tcW w:w="709" w:type="dxa"/>
            <w:shd w:val="clear" w:color="auto" w:fill="auto"/>
            <w:tcMar>
              <w:top w:w="72" w:type="dxa"/>
              <w:left w:w="144" w:type="dxa"/>
              <w:bottom w:w="72" w:type="dxa"/>
              <w:right w:w="144" w:type="dxa"/>
            </w:tcMar>
            <w:textDirection w:val="btLr"/>
            <w:vAlign w:val="center"/>
          </w:tcPr>
          <w:p w14:paraId="73BF2D4D" w14:textId="77777777" w:rsidR="00377C3F" w:rsidRPr="00B37F4F" w:rsidRDefault="00377C3F" w:rsidP="003731F7">
            <w:pPr>
              <w:ind w:left="113" w:right="113"/>
              <w:jc w:val="center"/>
              <w:rPr>
                <w:sz w:val="22"/>
                <w:szCs w:val="22"/>
              </w:rPr>
            </w:pPr>
          </w:p>
        </w:tc>
        <w:tc>
          <w:tcPr>
            <w:tcW w:w="779" w:type="dxa"/>
            <w:gridSpan w:val="2"/>
            <w:tcBorders>
              <w:left w:val="nil"/>
              <w:bottom w:val="single" w:sz="8" w:space="0" w:color="FFFFFF"/>
              <w:right w:val="single" w:sz="8" w:space="0" w:color="FFFFFF"/>
            </w:tcBorders>
            <w:shd w:val="clear" w:color="auto" w:fill="auto"/>
            <w:tcMar>
              <w:top w:w="72" w:type="dxa"/>
              <w:left w:w="144" w:type="dxa"/>
              <w:bottom w:w="72" w:type="dxa"/>
              <w:right w:w="144" w:type="dxa"/>
            </w:tcMar>
            <w:vAlign w:val="center"/>
            <w:hideMark/>
          </w:tcPr>
          <w:p w14:paraId="0839CDD3" w14:textId="77777777" w:rsidR="00377C3F" w:rsidRPr="00B37F4F" w:rsidRDefault="00377C3F" w:rsidP="003731F7">
            <w:pPr>
              <w:rPr>
                <w:sz w:val="22"/>
                <w:szCs w:val="22"/>
              </w:rPr>
            </w:pPr>
          </w:p>
        </w:tc>
        <w:tc>
          <w:tcPr>
            <w:tcW w:w="780"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2C99CC07" w14:textId="77777777" w:rsidR="00377C3F" w:rsidRPr="00B37F4F" w:rsidRDefault="00377C3F" w:rsidP="003731F7">
            <w:pPr>
              <w:jc w:val="center"/>
              <w:rPr>
                <w:b/>
                <w:sz w:val="22"/>
                <w:szCs w:val="22"/>
              </w:rPr>
            </w:pPr>
            <w:r w:rsidRPr="00B37F4F">
              <w:rPr>
                <w:b/>
                <w:bCs/>
                <w:sz w:val="22"/>
                <w:szCs w:val="22"/>
              </w:rPr>
              <w:t>1</w:t>
            </w:r>
          </w:p>
        </w:tc>
        <w:tc>
          <w:tcPr>
            <w:tcW w:w="779"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2335011C" w14:textId="77777777" w:rsidR="00377C3F" w:rsidRPr="00B37F4F" w:rsidRDefault="00377C3F" w:rsidP="003731F7">
            <w:pPr>
              <w:jc w:val="center"/>
              <w:rPr>
                <w:b/>
                <w:sz w:val="22"/>
                <w:szCs w:val="22"/>
              </w:rPr>
            </w:pPr>
            <w:r w:rsidRPr="00B37F4F">
              <w:rPr>
                <w:b/>
                <w:bCs/>
                <w:sz w:val="22"/>
                <w:szCs w:val="22"/>
              </w:rPr>
              <w:t>0.8</w:t>
            </w:r>
          </w:p>
        </w:tc>
        <w:tc>
          <w:tcPr>
            <w:tcW w:w="780"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43785D79" w14:textId="77777777" w:rsidR="00377C3F" w:rsidRPr="00B37F4F" w:rsidRDefault="00377C3F" w:rsidP="003731F7">
            <w:pPr>
              <w:jc w:val="center"/>
              <w:rPr>
                <w:b/>
                <w:sz w:val="22"/>
                <w:szCs w:val="22"/>
              </w:rPr>
            </w:pPr>
            <w:r w:rsidRPr="00B37F4F">
              <w:rPr>
                <w:b/>
                <w:bCs/>
                <w:sz w:val="22"/>
                <w:szCs w:val="22"/>
              </w:rPr>
              <w:t>0.6</w:t>
            </w:r>
          </w:p>
        </w:tc>
        <w:tc>
          <w:tcPr>
            <w:tcW w:w="780"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7BA6BDAD" w14:textId="77777777" w:rsidR="00377C3F" w:rsidRPr="00B37F4F" w:rsidRDefault="00377C3F" w:rsidP="003731F7">
            <w:pPr>
              <w:jc w:val="center"/>
              <w:rPr>
                <w:b/>
                <w:sz w:val="22"/>
                <w:szCs w:val="22"/>
              </w:rPr>
            </w:pPr>
            <w:r w:rsidRPr="00B37F4F">
              <w:rPr>
                <w:b/>
                <w:bCs/>
                <w:sz w:val="22"/>
                <w:szCs w:val="22"/>
              </w:rPr>
              <w:t>0.4</w:t>
            </w:r>
          </w:p>
        </w:tc>
        <w:tc>
          <w:tcPr>
            <w:tcW w:w="779"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46C78411" w14:textId="77777777" w:rsidR="00377C3F" w:rsidRPr="00B37F4F" w:rsidRDefault="00377C3F" w:rsidP="003731F7">
            <w:pPr>
              <w:jc w:val="center"/>
              <w:rPr>
                <w:b/>
                <w:sz w:val="22"/>
                <w:szCs w:val="22"/>
              </w:rPr>
            </w:pPr>
            <w:r w:rsidRPr="00B37F4F">
              <w:rPr>
                <w:b/>
                <w:bCs/>
                <w:sz w:val="22"/>
                <w:szCs w:val="22"/>
              </w:rPr>
              <w:t>0.2</w:t>
            </w:r>
          </w:p>
        </w:tc>
        <w:tc>
          <w:tcPr>
            <w:tcW w:w="780"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6F226181" w14:textId="77777777" w:rsidR="00377C3F" w:rsidRPr="00B37F4F" w:rsidRDefault="00377C3F" w:rsidP="003731F7">
            <w:pPr>
              <w:jc w:val="center"/>
              <w:rPr>
                <w:b/>
                <w:sz w:val="22"/>
                <w:szCs w:val="22"/>
              </w:rPr>
            </w:pPr>
            <w:r w:rsidRPr="00B37F4F">
              <w:rPr>
                <w:b/>
                <w:bCs/>
                <w:sz w:val="22"/>
                <w:szCs w:val="22"/>
              </w:rPr>
              <w:t>0.1</w:t>
            </w:r>
          </w:p>
        </w:tc>
        <w:tc>
          <w:tcPr>
            <w:tcW w:w="780" w:type="dxa"/>
            <w:tcBorders>
              <w:left w:val="single" w:sz="8" w:space="0" w:color="FFFFFF"/>
              <w:bottom w:val="single" w:sz="4" w:space="0" w:color="auto"/>
              <w:right w:val="single" w:sz="8" w:space="0" w:color="FFFFFF"/>
            </w:tcBorders>
            <w:shd w:val="clear" w:color="auto" w:fill="auto"/>
            <w:tcMar>
              <w:top w:w="72" w:type="dxa"/>
              <w:left w:w="144" w:type="dxa"/>
              <w:bottom w:w="72" w:type="dxa"/>
              <w:right w:w="144" w:type="dxa"/>
            </w:tcMar>
            <w:vAlign w:val="center"/>
            <w:hideMark/>
          </w:tcPr>
          <w:p w14:paraId="15039032" w14:textId="77777777" w:rsidR="00377C3F" w:rsidRPr="00B37F4F" w:rsidRDefault="00377C3F" w:rsidP="003731F7">
            <w:pPr>
              <w:jc w:val="center"/>
              <w:rPr>
                <w:b/>
                <w:sz w:val="22"/>
                <w:szCs w:val="22"/>
              </w:rPr>
            </w:pPr>
            <w:r w:rsidRPr="00B37F4F">
              <w:rPr>
                <w:b/>
                <w:bCs/>
                <w:sz w:val="22"/>
                <w:szCs w:val="22"/>
              </w:rPr>
              <w:t>0.05</w:t>
            </w:r>
          </w:p>
        </w:tc>
      </w:tr>
      <w:tr w:rsidR="00377C3F" w:rsidRPr="00B37F4F" w14:paraId="1274045E" w14:textId="77777777" w:rsidTr="003731F7">
        <w:trPr>
          <w:trHeight w:val="272"/>
        </w:trPr>
        <w:tc>
          <w:tcPr>
            <w:tcW w:w="709" w:type="dxa"/>
            <w:vMerge w:val="restart"/>
            <w:shd w:val="clear" w:color="auto" w:fill="auto"/>
            <w:tcMar>
              <w:top w:w="72" w:type="dxa"/>
              <w:left w:w="144" w:type="dxa"/>
              <w:bottom w:w="72" w:type="dxa"/>
              <w:right w:w="144" w:type="dxa"/>
            </w:tcMar>
            <w:textDirection w:val="btLr"/>
            <w:vAlign w:val="center"/>
            <w:hideMark/>
          </w:tcPr>
          <w:p w14:paraId="034D31B3" w14:textId="77777777" w:rsidR="00377C3F" w:rsidRPr="00B37F4F" w:rsidRDefault="00377C3F" w:rsidP="003731F7">
            <w:pPr>
              <w:jc w:val="center"/>
              <w:rPr>
                <w:sz w:val="22"/>
                <w:szCs w:val="22"/>
              </w:rPr>
            </w:pPr>
            <w:r w:rsidRPr="00B37F4F">
              <w:rPr>
                <w:sz w:val="22"/>
                <w:szCs w:val="22"/>
              </w:rPr>
              <w:t>Number of</w:t>
            </w:r>
          </w:p>
          <w:p w14:paraId="43785CA5" w14:textId="77777777" w:rsidR="00377C3F" w:rsidRPr="00B37F4F" w:rsidRDefault="00377C3F" w:rsidP="003731F7">
            <w:pPr>
              <w:jc w:val="center"/>
              <w:rPr>
                <w:sz w:val="22"/>
                <w:szCs w:val="22"/>
              </w:rPr>
            </w:pPr>
            <w:r w:rsidRPr="00B37F4F">
              <w:rPr>
                <w:sz w:val="22"/>
                <w:szCs w:val="22"/>
              </w:rPr>
              <w:t>common sex</w:t>
            </w:r>
          </w:p>
        </w:tc>
        <w:tc>
          <w:tcPr>
            <w:tcW w:w="779" w:type="dxa"/>
            <w:gridSpan w:val="2"/>
            <w:tcBorders>
              <w:top w:val="single" w:sz="8" w:space="0" w:color="FFFFFF"/>
              <w:left w:val="nil"/>
              <w:bottom w:val="single" w:sz="8" w:space="0" w:color="FFFFFF"/>
              <w:right w:val="single" w:sz="4" w:space="0" w:color="auto"/>
            </w:tcBorders>
            <w:shd w:val="clear" w:color="auto" w:fill="auto"/>
            <w:tcMar>
              <w:top w:w="72" w:type="dxa"/>
              <w:left w:w="144" w:type="dxa"/>
              <w:bottom w:w="72" w:type="dxa"/>
              <w:right w:w="144" w:type="dxa"/>
            </w:tcMar>
            <w:vAlign w:val="center"/>
            <w:hideMark/>
          </w:tcPr>
          <w:p w14:paraId="7B86FDC2" w14:textId="77777777" w:rsidR="00377C3F" w:rsidRPr="00B37F4F" w:rsidRDefault="00377C3F" w:rsidP="003731F7">
            <w:pPr>
              <w:jc w:val="right"/>
              <w:rPr>
                <w:b/>
                <w:sz w:val="22"/>
                <w:szCs w:val="22"/>
              </w:rPr>
            </w:pPr>
            <w:r w:rsidRPr="00B37F4F">
              <w:rPr>
                <w:b/>
                <w:bCs/>
                <w:sz w:val="22"/>
                <w:szCs w:val="22"/>
              </w:rPr>
              <w:t>1000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4C1E7D4" w14:textId="77777777" w:rsidR="00377C3F" w:rsidRPr="00B37F4F" w:rsidRDefault="00377C3F" w:rsidP="003731F7">
            <w:pPr>
              <w:jc w:val="center"/>
              <w:rPr>
                <w:sz w:val="22"/>
                <w:szCs w:val="22"/>
              </w:rPr>
            </w:pPr>
            <w:r w:rsidRPr="00B37F4F">
              <w:rPr>
                <w:sz w:val="22"/>
                <w:szCs w:val="22"/>
              </w:rPr>
              <w:t>2000</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DE7564E" w14:textId="77777777" w:rsidR="00377C3F" w:rsidRPr="00B37F4F" w:rsidRDefault="00377C3F" w:rsidP="003731F7">
            <w:pPr>
              <w:jc w:val="center"/>
              <w:rPr>
                <w:sz w:val="22"/>
                <w:szCs w:val="22"/>
              </w:rPr>
            </w:pPr>
            <w:r w:rsidRPr="00B37F4F">
              <w:rPr>
                <w:sz w:val="22"/>
                <w:szCs w:val="22"/>
              </w:rPr>
              <w:t>1778</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EE6C135" w14:textId="77777777" w:rsidR="00377C3F" w:rsidRPr="00B37F4F" w:rsidRDefault="00377C3F" w:rsidP="003731F7">
            <w:pPr>
              <w:jc w:val="center"/>
              <w:rPr>
                <w:sz w:val="22"/>
                <w:szCs w:val="22"/>
              </w:rPr>
            </w:pPr>
            <w:r w:rsidRPr="00B37F4F">
              <w:rPr>
                <w:sz w:val="22"/>
                <w:szCs w:val="22"/>
              </w:rPr>
              <w:t>1500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58EE40D" w14:textId="77777777" w:rsidR="00377C3F" w:rsidRPr="00B37F4F" w:rsidRDefault="00377C3F" w:rsidP="003731F7">
            <w:pPr>
              <w:jc w:val="center"/>
              <w:rPr>
                <w:sz w:val="22"/>
                <w:szCs w:val="22"/>
              </w:rPr>
            </w:pPr>
            <w:r w:rsidRPr="00B37F4F">
              <w:rPr>
                <w:sz w:val="22"/>
                <w:szCs w:val="22"/>
              </w:rPr>
              <w:t>1143</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5CF7960" w14:textId="77777777" w:rsidR="00377C3F" w:rsidRPr="00B37F4F" w:rsidRDefault="00377C3F" w:rsidP="003731F7">
            <w:pPr>
              <w:jc w:val="center"/>
              <w:rPr>
                <w:sz w:val="22"/>
                <w:szCs w:val="22"/>
              </w:rPr>
            </w:pPr>
            <w:r w:rsidRPr="00B37F4F">
              <w:rPr>
                <w:sz w:val="22"/>
                <w:szCs w:val="22"/>
              </w:rPr>
              <w:t>667</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37029A0" w14:textId="77777777" w:rsidR="00377C3F" w:rsidRPr="00B37F4F" w:rsidRDefault="00377C3F" w:rsidP="003731F7">
            <w:pPr>
              <w:jc w:val="center"/>
              <w:rPr>
                <w:sz w:val="22"/>
                <w:szCs w:val="22"/>
              </w:rPr>
            </w:pPr>
            <w:r w:rsidRPr="00B37F4F">
              <w:rPr>
                <w:sz w:val="22"/>
                <w:szCs w:val="22"/>
              </w:rPr>
              <w:t>364</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0F9991E" w14:textId="77777777" w:rsidR="00377C3F" w:rsidRPr="00B37F4F" w:rsidRDefault="00377C3F" w:rsidP="003731F7">
            <w:pPr>
              <w:jc w:val="center"/>
              <w:rPr>
                <w:sz w:val="22"/>
                <w:szCs w:val="22"/>
              </w:rPr>
            </w:pPr>
            <w:r w:rsidRPr="00B37F4F">
              <w:rPr>
                <w:sz w:val="22"/>
                <w:szCs w:val="22"/>
              </w:rPr>
              <w:t>190</w:t>
            </w:r>
          </w:p>
        </w:tc>
      </w:tr>
      <w:tr w:rsidR="00377C3F" w:rsidRPr="00B37F4F" w14:paraId="49AC4E7C" w14:textId="77777777" w:rsidTr="003731F7">
        <w:trPr>
          <w:trHeight w:val="272"/>
        </w:trPr>
        <w:tc>
          <w:tcPr>
            <w:tcW w:w="709" w:type="dxa"/>
            <w:vMerge/>
            <w:shd w:val="clear" w:color="auto" w:fill="auto"/>
            <w:vAlign w:val="center"/>
            <w:hideMark/>
          </w:tcPr>
          <w:p w14:paraId="07D85648" w14:textId="77777777" w:rsidR="00377C3F" w:rsidRPr="00B37F4F" w:rsidRDefault="00377C3F" w:rsidP="003731F7">
            <w:pPr>
              <w:rPr>
                <w:sz w:val="22"/>
                <w:szCs w:val="22"/>
              </w:rPr>
            </w:pPr>
          </w:p>
        </w:tc>
        <w:tc>
          <w:tcPr>
            <w:tcW w:w="779" w:type="dxa"/>
            <w:gridSpan w:val="2"/>
            <w:tcBorders>
              <w:top w:val="single" w:sz="8" w:space="0" w:color="FFFFFF"/>
              <w:left w:val="nil"/>
              <w:bottom w:val="single" w:sz="8" w:space="0" w:color="FFFFFF"/>
              <w:right w:val="single" w:sz="4" w:space="0" w:color="auto"/>
            </w:tcBorders>
            <w:shd w:val="clear" w:color="auto" w:fill="auto"/>
            <w:tcMar>
              <w:top w:w="72" w:type="dxa"/>
              <w:left w:w="144" w:type="dxa"/>
              <w:bottom w:w="72" w:type="dxa"/>
              <w:right w:w="144" w:type="dxa"/>
            </w:tcMar>
            <w:vAlign w:val="center"/>
            <w:hideMark/>
          </w:tcPr>
          <w:p w14:paraId="1172AA40" w14:textId="77777777" w:rsidR="00377C3F" w:rsidRPr="00B37F4F" w:rsidRDefault="00377C3F" w:rsidP="003731F7">
            <w:pPr>
              <w:jc w:val="right"/>
              <w:rPr>
                <w:b/>
                <w:sz w:val="22"/>
                <w:szCs w:val="22"/>
              </w:rPr>
            </w:pPr>
            <w:r w:rsidRPr="00B37F4F">
              <w:rPr>
                <w:b/>
                <w:bCs/>
                <w:sz w:val="22"/>
                <w:szCs w:val="22"/>
              </w:rPr>
              <w:t>500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6FA2586" w14:textId="77777777" w:rsidR="00377C3F" w:rsidRPr="00B37F4F" w:rsidRDefault="00377C3F" w:rsidP="003731F7">
            <w:pPr>
              <w:jc w:val="center"/>
              <w:rPr>
                <w:sz w:val="22"/>
                <w:szCs w:val="22"/>
              </w:rPr>
            </w:pPr>
            <w:r w:rsidRPr="00B37F4F">
              <w:rPr>
                <w:sz w:val="22"/>
                <w:szCs w:val="22"/>
              </w:rPr>
              <w:t>1000</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57E826F" w14:textId="77777777" w:rsidR="00377C3F" w:rsidRPr="00B37F4F" w:rsidRDefault="00377C3F" w:rsidP="003731F7">
            <w:pPr>
              <w:jc w:val="center"/>
              <w:rPr>
                <w:sz w:val="22"/>
                <w:szCs w:val="22"/>
              </w:rPr>
            </w:pPr>
            <w:r w:rsidRPr="00B37F4F">
              <w:rPr>
                <w:sz w:val="22"/>
                <w:szCs w:val="22"/>
              </w:rPr>
              <w:t>889</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15EC6CD" w14:textId="77777777" w:rsidR="00377C3F" w:rsidRPr="00B37F4F" w:rsidRDefault="00377C3F" w:rsidP="003731F7">
            <w:pPr>
              <w:jc w:val="center"/>
              <w:rPr>
                <w:sz w:val="22"/>
                <w:szCs w:val="22"/>
              </w:rPr>
            </w:pPr>
            <w:r w:rsidRPr="00B37F4F">
              <w:rPr>
                <w:sz w:val="22"/>
                <w:szCs w:val="22"/>
              </w:rPr>
              <w:t>750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BFD5E4A" w14:textId="77777777" w:rsidR="00377C3F" w:rsidRPr="00B37F4F" w:rsidRDefault="00377C3F" w:rsidP="003731F7">
            <w:pPr>
              <w:jc w:val="center"/>
              <w:rPr>
                <w:sz w:val="22"/>
                <w:szCs w:val="22"/>
              </w:rPr>
            </w:pPr>
            <w:r w:rsidRPr="00B37F4F">
              <w:rPr>
                <w:sz w:val="22"/>
                <w:szCs w:val="22"/>
              </w:rPr>
              <w:t>571</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2174973" w14:textId="77777777" w:rsidR="00377C3F" w:rsidRPr="00B37F4F" w:rsidRDefault="00377C3F" w:rsidP="003731F7">
            <w:pPr>
              <w:jc w:val="center"/>
              <w:rPr>
                <w:sz w:val="22"/>
                <w:szCs w:val="22"/>
              </w:rPr>
            </w:pPr>
            <w:r w:rsidRPr="00B37F4F">
              <w:rPr>
                <w:sz w:val="22"/>
                <w:szCs w:val="22"/>
              </w:rPr>
              <w:t>333</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2699154" w14:textId="77777777" w:rsidR="00377C3F" w:rsidRPr="00B37F4F" w:rsidRDefault="00377C3F" w:rsidP="003731F7">
            <w:pPr>
              <w:jc w:val="center"/>
              <w:rPr>
                <w:sz w:val="22"/>
                <w:szCs w:val="22"/>
              </w:rPr>
            </w:pPr>
            <w:r w:rsidRPr="00B37F4F">
              <w:rPr>
                <w:sz w:val="22"/>
                <w:szCs w:val="22"/>
              </w:rPr>
              <w:t>182</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6F9011B" w14:textId="77777777" w:rsidR="00377C3F" w:rsidRPr="00B37F4F" w:rsidRDefault="00377C3F" w:rsidP="003731F7">
            <w:pPr>
              <w:jc w:val="center"/>
              <w:rPr>
                <w:sz w:val="22"/>
                <w:szCs w:val="22"/>
              </w:rPr>
            </w:pPr>
            <w:r w:rsidRPr="00B37F4F">
              <w:rPr>
                <w:sz w:val="22"/>
                <w:szCs w:val="22"/>
              </w:rPr>
              <w:t>95</w:t>
            </w:r>
          </w:p>
        </w:tc>
      </w:tr>
      <w:tr w:rsidR="00377C3F" w:rsidRPr="00B37F4F" w14:paraId="17F15843" w14:textId="77777777" w:rsidTr="003731F7">
        <w:trPr>
          <w:trHeight w:val="272"/>
        </w:trPr>
        <w:tc>
          <w:tcPr>
            <w:tcW w:w="709" w:type="dxa"/>
            <w:vMerge/>
            <w:shd w:val="clear" w:color="auto" w:fill="auto"/>
            <w:vAlign w:val="center"/>
            <w:hideMark/>
          </w:tcPr>
          <w:p w14:paraId="724BD79D" w14:textId="77777777" w:rsidR="00377C3F" w:rsidRPr="00B37F4F" w:rsidRDefault="00377C3F" w:rsidP="003731F7">
            <w:pPr>
              <w:rPr>
                <w:sz w:val="22"/>
                <w:szCs w:val="22"/>
              </w:rPr>
            </w:pPr>
          </w:p>
        </w:tc>
        <w:tc>
          <w:tcPr>
            <w:tcW w:w="779" w:type="dxa"/>
            <w:gridSpan w:val="2"/>
            <w:tcBorders>
              <w:top w:val="single" w:sz="8" w:space="0" w:color="FFFFFF"/>
              <w:left w:val="nil"/>
              <w:bottom w:val="single" w:sz="8" w:space="0" w:color="FFFFFF"/>
              <w:right w:val="single" w:sz="4" w:space="0" w:color="auto"/>
            </w:tcBorders>
            <w:shd w:val="clear" w:color="auto" w:fill="auto"/>
            <w:tcMar>
              <w:top w:w="72" w:type="dxa"/>
              <w:left w:w="144" w:type="dxa"/>
              <w:bottom w:w="72" w:type="dxa"/>
              <w:right w:w="144" w:type="dxa"/>
            </w:tcMar>
            <w:vAlign w:val="center"/>
            <w:hideMark/>
          </w:tcPr>
          <w:p w14:paraId="629BA9CE" w14:textId="77777777" w:rsidR="00377C3F" w:rsidRPr="00B37F4F" w:rsidRDefault="00377C3F" w:rsidP="003731F7">
            <w:pPr>
              <w:jc w:val="right"/>
              <w:rPr>
                <w:b/>
                <w:sz w:val="22"/>
                <w:szCs w:val="22"/>
              </w:rPr>
            </w:pPr>
            <w:r w:rsidRPr="00B37F4F">
              <w:rPr>
                <w:b/>
                <w:bCs/>
                <w:sz w:val="22"/>
                <w:szCs w:val="22"/>
              </w:rPr>
              <w:t>100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8CE22C6" w14:textId="77777777" w:rsidR="00377C3F" w:rsidRPr="00B37F4F" w:rsidRDefault="00377C3F" w:rsidP="003731F7">
            <w:pPr>
              <w:jc w:val="center"/>
              <w:rPr>
                <w:sz w:val="22"/>
                <w:szCs w:val="22"/>
              </w:rPr>
            </w:pPr>
            <w:r w:rsidRPr="00B37F4F">
              <w:rPr>
                <w:sz w:val="22"/>
                <w:szCs w:val="22"/>
              </w:rPr>
              <w:t>200</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718BEB9" w14:textId="77777777" w:rsidR="00377C3F" w:rsidRPr="00B37F4F" w:rsidRDefault="00377C3F" w:rsidP="003731F7">
            <w:pPr>
              <w:jc w:val="center"/>
              <w:rPr>
                <w:sz w:val="22"/>
                <w:szCs w:val="22"/>
              </w:rPr>
            </w:pPr>
            <w:r w:rsidRPr="00B37F4F">
              <w:rPr>
                <w:sz w:val="22"/>
                <w:szCs w:val="22"/>
              </w:rPr>
              <w:t>178</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59B346" w14:textId="77777777" w:rsidR="00377C3F" w:rsidRPr="00B37F4F" w:rsidRDefault="00377C3F" w:rsidP="003731F7">
            <w:pPr>
              <w:jc w:val="center"/>
              <w:rPr>
                <w:sz w:val="22"/>
                <w:szCs w:val="22"/>
              </w:rPr>
            </w:pPr>
            <w:r w:rsidRPr="00B37F4F">
              <w:rPr>
                <w:sz w:val="22"/>
                <w:szCs w:val="22"/>
              </w:rPr>
              <w:t>150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B3F45C4" w14:textId="77777777" w:rsidR="00377C3F" w:rsidRPr="00B37F4F" w:rsidRDefault="00377C3F" w:rsidP="003731F7">
            <w:pPr>
              <w:jc w:val="center"/>
              <w:rPr>
                <w:sz w:val="22"/>
                <w:szCs w:val="22"/>
              </w:rPr>
            </w:pPr>
            <w:r w:rsidRPr="00B37F4F">
              <w:rPr>
                <w:sz w:val="22"/>
                <w:szCs w:val="22"/>
              </w:rPr>
              <w:t>114</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5645907" w14:textId="77777777" w:rsidR="00377C3F" w:rsidRPr="00B37F4F" w:rsidRDefault="00377C3F" w:rsidP="003731F7">
            <w:pPr>
              <w:jc w:val="center"/>
              <w:rPr>
                <w:sz w:val="22"/>
                <w:szCs w:val="22"/>
              </w:rPr>
            </w:pPr>
            <w:r w:rsidRPr="00B37F4F">
              <w:rPr>
                <w:sz w:val="22"/>
                <w:szCs w:val="22"/>
              </w:rPr>
              <w:t>67</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5B83FE1" w14:textId="77777777" w:rsidR="00377C3F" w:rsidRPr="00B37F4F" w:rsidRDefault="00377C3F" w:rsidP="003731F7">
            <w:pPr>
              <w:jc w:val="center"/>
              <w:rPr>
                <w:sz w:val="22"/>
                <w:szCs w:val="22"/>
              </w:rPr>
            </w:pPr>
            <w:r w:rsidRPr="00B37F4F">
              <w:rPr>
                <w:sz w:val="22"/>
                <w:szCs w:val="22"/>
              </w:rPr>
              <w:t>36</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8776883" w14:textId="77777777" w:rsidR="00377C3F" w:rsidRPr="00B37F4F" w:rsidRDefault="00377C3F" w:rsidP="003731F7">
            <w:pPr>
              <w:jc w:val="center"/>
              <w:rPr>
                <w:sz w:val="22"/>
                <w:szCs w:val="22"/>
              </w:rPr>
            </w:pPr>
            <w:r w:rsidRPr="00B37F4F">
              <w:rPr>
                <w:sz w:val="22"/>
                <w:szCs w:val="22"/>
              </w:rPr>
              <w:t>19</w:t>
            </w:r>
          </w:p>
        </w:tc>
      </w:tr>
      <w:tr w:rsidR="00377C3F" w:rsidRPr="00B37F4F" w14:paraId="0D9C914B" w14:textId="77777777" w:rsidTr="003731F7">
        <w:trPr>
          <w:trHeight w:val="272"/>
        </w:trPr>
        <w:tc>
          <w:tcPr>
            <w:tcW w:w="709" w:type="dxa"/>
            <w:vMerge/>
            <w:shd w:val="clear" w:color="auto" w:fill="auto"/>
            <w:vAlign w:val="center"/>
            <w:hideMark/>
          </w:tcPr>
          <w:p w14:paraId="20D3C0C2" w14:textId="77777777" w:rsidR="00377C3F" w:rsidRPr="00B37F4F" w:rsidRDefault="00377C3F" w:rsidP="003731F7">
            <w:pPr>
              <w:rPr>
                <w:sz w:val="22"/>
                <w:szCs w:val="22"/>
              </w:rPr>
            </w:pPr>
          </w:p>
        </w:tc>
        <w:tc>
          <w:tcPr>
            <w:tcW w:w="779" w:type="dxa"/>
            <w:gridSpan w:val="2"/>
            <w:tcBorders>
              <w:top w:val="single" w:sz="8" w:space="0" w:color="FFFFFF"/>
              <w:left w:val="nil"/>
              <w:right w:val="single" w:sz="4" w:space="0" w:color="auto"/>
            </w:tcBorders>
            <w:shd w:val="clear" w:color="auto" w:fill="auto"/>
            <w:tcMar>
              <w:top w:w="72" w:type="dxa"/>
              <w:left w:w="144" w:type="dxa"/>
              <w:bottom w:w="72" w:type="dxa"/>
              <w:right w:w="144" w:type="dxa"/>
            </w:tcMar>
            <w:vAlign w:val="center"/>
            <w:hideMark/>
          </w:tcPr>
          <w:p w14:paraId="769691B7" w14:textId="77777777" w:rsidR="00377C3F" w:rsidRPr="00B37F4F" w:rsidRDefault="00377C3F" w:rsidP="003731F7">
            <w:pPr>
              <w:jc w:val="right"/>
              <w:rPr>
                <w:b/>
                <w:sz w:val="22"/>
                <w:szCs w:val="22"/>
              </w:rPr>
            </w:pPr>
            <w:r w:rsidRPr="00B37F4F">
              <w:rPr>
                <w:b/>
                <w:bCs/>
                <w:sz w:val="22"/>
                <w:szCs w:val="22"/>
              </w:rPr>
              <w:t>50</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0960FF03" w14:textId="77777777" w:rsidR="00377C3F" w:rsidRPr="00B37F4F" w:rsidRDefault="00377C3F" w:rsidP="003731F7">
            <w:pPr>
              <w:jc w:val="center"/>
              <w:rPr>
                <w:sz w:val="22"/>
                <w:szCs w:val="22"/>
              </w:rPr>
            </w:pPr>
            <w:r w:rsidRPr="00B37F4F">
              <w:rPr>
                <w:sz w:val="22"/>
                <w:szCs w:val="22"/>
              </w:rPr>
              <w:t>100</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923CE5C" w14:textId="77777777" w:rsidR="00377C3F" w:rsidRPr="00B37F4F" w:rsidRDefault="00377C3F" w:rsidP="003731F7">
            <w:pPr>
              <w:jc w:val="center"/>
              <w:rPr>
                <w:sz w:val="22"/>
                <w:szCs w:val="22"/>
              </w:rPr>
            </w:pPr>
            <w:r w:rsidRPr="00B37F4F">
              <w:rPr>
                <w:sz w:val="22"/>
                <w:szCs w:val="22"/>
              </w:rPr>
              <w:t>89</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DB08913" w14:textId="77777777" w:rsidR="00377C3F" w:rsidRPr="00B37F4F" w:rsidRDefault="00377C3F" w:rsidP="003731F7">
            <w:pPr>
              <w:jc w:val="center"/>
              <w:rPr>
                <w:sz w:val="22"/>
                <w:szCs w:val="22"/>
              </w:rPr>
            </w:pPr>
            <w:r w:rsidRPr="00B37F4F">
              <w:rPr>
                <w:sz w:val="22"/>
                <w:szCs w:val="22"/>
              </w:rPr>
              <w:t>75</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8755BA" w14:textId="77777777" w:rsidR="00377C3F" w:rsidRPr="00B37F4F" w:rsidRDefault="00377C3F" w:rsidP="003731F7">
            <w:pPr>
              <w:jc w:val="center"/>
              <w:rPr>
                <w:sz w:val="22"/>
                <w:szCs w:val="22"/>
              </w:rPr>
            </w:pPr>
            <w:r w:rsidRPr="00B37F4F">
              <w:rPr>
                <w:sz w:val="22"/>
                <w:szCs w:val="22"/>
              </w:rPr>
              <w:t>57</w:t>
            </w:r>
          </w:p>
        </w:tc>
        <w:tc>
          <w:tcPr>
            <w:tcW w:w="77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AF08069" w14:textId="77777777" w:rsidR="00377C3F" w:rsidRPr="00B37F4F" w:rsidRDefault="00377C3F" w:rsidP="003731F7">
            <w:pPr>
              <w:jc w:val="center"/>
              <w:rPr>
                <w:sz w:val="22"/>
                <w:szCs w:val="22"/>
              </w:rPr>
            </w:pPr>
            <w:r w:rsidRPr="00B37F4F">
              <w:rPr>
                <w:sz w:val="22"/>
                <w:szCs w:val="22"/>
              </w:rPr>
              <w:t>33</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7B0CB2" w14:textId="77777777" w:rsidR="00377C3F" w:rsidRPr="00B37F4F" w:rsidRDefault="00377C3F" w:rsidP="003731F7">
            <w:pPr>
              <w:jc w:val="center"/>
              <w:rPr>
                <w:sz w:val="22"/>
                <w:szCs w:val="22"/>
              </w:rPr>
            </w:pPr>
            <w:r w:rsidRPr="00B37F4F">
              <w:rPr>
                <w:sz w:val="22"/>
                <w:szCs w:val="22"/>
              </w:rPr>
              <w:t>18</w:t>
            </w:r>
          </w:p>
        </w:tc>
        <w:tc>
          <w:tcPr>
            <w:tcW w:w="780"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A2C641" w14:textId="77777777" w:rsidR="00377C3F" w:rsidRPr="00B37F4F" w:rsidRDefault="00377C3F" w:rsidP="003731F7">
            <w:pPr>
              <w:jc w:val="center"/>
              <w:rPr>
                <w:sz w:val="22"/>
                <w:szCs w:val="22"/>
              </w:rPr>
            </w:pPr>
            <w:r w:rsidRPr="00B37F4F">
              <w:rPr>
                <w:sz w:val="22"/>
                <w:szCs w:val="22"/>
              </w:rPr>
              <w:t>10</w:t>
            </w:r>
          </w:p>
        </w:tc>
      </w:tr>
    </w:tbl>
    <w:p w14:paraId="4A7EB061" w14:textId="77777777" w:rsidR="00377C3F" w:rsidRPr="00B37F4F" w:rsidRDefault="00377C3F" w:rsidP="00377C3F">
      <w:r w:rsidRPr="00B37F4F">
        <w:t>Table 2 Variance effective population size for autosomal loci. E</w:t>
      </w:r>
    </w:p>
    <w:p w14:paraId="794153AC" w14:textId="77777777" w:rsidR="00377C3F" w:rsidRPr="00B37F4F" w:rsidRDefault="00377C3F" w:rsidP="00377C3F"/>
    <w:p w14:paraId="5A33F6E7" w14:textId="77777777" w:rsidR="00377C3F" w:rsidRPr="00B37F4F" w:rsidRDefault="00377C3F" w:rsidP="00377C3F"/>
    <w:p w14:paraId="7FF36635" w14:textId="77777777" w:rsidR="00377C3F" w:rsidRDefault="00377C3F">
      <w:bookmarkStart w:id="0" w:name="_GoBack"/>
      <w:bookmarkEnd w:id="0"/>
    </w:p>
    <w:sectPr w:rsidR="00377C3F" w:rsidSect="001C2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A25"/>
    <w:rsid w:val="0005170C"/>
    <w:rsid w:val="00054C48"/>
    <w:rsid w:val="0006404E"/>
    <w:rsid w:val="00066A1A"/>
    <w:rsid w:val="000807E6"/>
    <w:rsid w:val="00111160"/>
    <w:rsid w:val="0011635B"/>
    <w:rsid w:val="001350BF"/>
    <w:rsid w:val="00175F08"/>
    <w:rsid w:val="00176477"/>
    <w:rsid w:val="001C1C65"/>
    <w:rsid w:val="001C202D"/>
    <w:rsid w:val="00200FDB"/>
    <w:rsid w:val="0020185F"/>
    <w:rsid w:val="0026755B"/>
    <w:rsid w:val="002C34CC"/>
    <w:rsid w:val="00324965"/>
    <w:rsid w:val="00333C23"/>
    <w:rsid w:val="003572A1"/>
    <w:rsid w:val="00377C3F"/>
    <w:rsid w:val="003A026E"/>
    <w:rsid w:val="003A0E32"/>
    <w:rsid w:val="003A7D42"/>
    <w:rsid w:val="0042421D"/>
    <w:rsid w:val="00447512"/>
    <w:rsid w:val="00471D96"/>
    <w:rsid w:val="004776C4"/>
    <w:rsid w:val="004800C4"/>
    <w:rsid w:val="004907FF"/>
    <w:rsid w:val="00491E1B"/>
    <w:rsid w:val="004932A6"/>
    <w:rsid w:val="004A2683"/>
    <w:rsid w:val="00504893"/>
    <w:rsid w:val="005077CD"/>
    <w:rsid w:val="0053486B"/>
    <w:rsid w:val="005602BF"/>
    <w:rsid w:val="00567DD9"/>
    <w:rsid w:val="00573466"/>
    <w:rsid w:val="005778E9"/>
    <w:rsid w:val="005D0413"/>
    <w:rsid w:val="005D1700"/>
    <w:rsid w:val="006048CD"/>
    <w:rsid w:val="00607A5F"/>
    <w:rsid w:val="00623128"/>
    <w:rsid w:val="00637DC4"/>
    <w:rsid w:val="00664851"/>
    <w:rsid w:val="006F59FF"/>
    <w:rsid w:val="00707AD5"/>
    <w:rsid w:val="007B0810"/>
    <w:rsid w:val="007B3992"/>
    <w:rsid w:val="007C0765"/>
    <w:rsid w:val="007D29F2"/>
    <w:rsid w:val="0080654E"/>
    <w:rsid w:val="00852BE1"/>
    <w:rsid w:val="008750CE"/>
    <w:rsid w:val="00876232"/>
    <w:rsid w:val="008D2F4B"/>
    <w:rsid w:val="00913A25"/>
    <w:rsid w:val="009167C5"/>
    <w:rsid w:val="0092154E"/>
    <w:rsid w:val="0092694A"/>
    <w:rsid w:val="0098366C"/>
    <w:rsid w:val="009A0CD5"/>
    <w:rsid w:val="009A3531"/>
    <w:rsid w:val="009A696C"/>
    <w:rsid w:val="009B623D"/>
    <w:rsid w:val="00A17DFC"/>
    <w:rsid w:val="00A24857"/>
    <w:rsid w:val="00A30C1B"/>
    <w:rsid w:val="00A733AB"/>
    <w:rsid w:val="00A825BD"/>
    <w:rsid w:val="00AB5951"/>
    <w:rsid w:val="00AD783C"/>
    <w:rsid w:val="00AE02BB"/>
    <w:rsid w:val="00AE3CE6"/>
    <w:rsid w:val="00AF1F34"/>
    <w:rsid w:val="00B31CDA"/>
    <w:rsid w:val="00B40E20"/>
    <w:rsid w:val="00B7020E"/>
    <w:rsid w:val="00B76BDA"/>
    <w:rsid w:val="00BA5A10"/>
    <w:rsid w:val="00BB4449"/>
    <w:rsid w:val="00C33DB9"/>
    <w:rsid w:val="00C70897"/>
    <w:rsid w:val="00C82BB7"/>
    <w:rsid w:val="00C93B5E"/>
    <w:rsid w:val="00D0196B"/>
    <w:rsid w:val="00D3411B"/>
    <w:rsid w:val="00D52807"/>
    <w:rsid w:val="00E27C38"/>
    <w:rsid w:val="00E8124D"/>
    <w:rsid w:val="00E97A15"/>
    <w:rsid w:val="00EA2A23"/>
    <w:rsid w:val="00EB2EFE"/>
    <w:rsid w:val="00EE5FF9"/>
    <w:rsid w:val="00EF3A32"/>
    <w:rsid w:val="00EF6766"/>
    <w:rsid w:val="00F776F0"/>
    <w:rsid w:val="00FB56F7"/>
    <w:rsid w:val="00FB737F"/>
    <w:rsid w:val="00FD6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6D721"/>
  <w14:defaultImageDpi w14:val="32767"/>
  <w15:chartTrackingRefBased/>
  <w15:docId w15:val="{AC0918E0-EB4B-7C4E-8F4C-8D6364171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3A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 Blackmon</dc:creator>
  <cp:keywords/>
  <dc:description/>
  <cp:lastModifiedBy>Heath Blackmon</cp:lastModifiedBy>
  <cp:revision>2</cp:revision>
  <dcterms:created xsi:type="dcterms:W3CDTF">2019-05-02T01:01:00Z</dcterms:created>
  <dcterms:modified xsi:type="dcterms:W3CDTF">2019-05-02T01:07:00Z</dcterms:modified>
</cp:coreProperties>
</file>