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Default Extension="png" ContentType="image/png"/>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p14">
  <w:body>
    <w:tbl>
      <w:tblPr>
        <w:tblW w:w="10588" w:type="dxa"/>
        <w:tblBorders>
          <w:top w:val="nil"/>
          <w:left w:val="nil"/>
          <w:bottom w:val="nil"/>
          <w:right w:val="nil"/>
          <w:insideH w:val="nil"/>
          <w:insideV w:val="nil"/>
        </w:tblBorders>
      </w:tblPr>
      <w:tblGrid>
        <w:gridCol w:w="2300"/>
        <w:gridCol w:w="5988"/>
        <w:gridCol w:w="2300"/>
      </w:tblGrid>
      <w:tr>
        <w:tc>
          <w:tcPr>
            <w:tcW w:w="2300" w:type="dxa"/>
          </w:tcPr>
          <w:p/>
        </w:tc>
        <w:tc>
          <w:tcPr>
            <w:tcW w:w="5988" w:type="dxa"/>
            <w:tcBorders>
              <w:top w:val="single" w:sz="6" w:color="000000"/>
              <w:left w:val="single" w:sz="6" w:color="000000"/>
              <w:bottom w:val="single" w:sz="6" w:color="000000"/>
              <w:right w:val="single" w:sz="6" w:color="000000"/>
            </w:tcBorders>
          </w:tcPr>
          <w:p>
            <w:pPr>
              <w:jc w:val="center"/>
            </w:pPr>
            <w:r>
              <w:rPr>
                <w:rFonts w:ascii="Copperplate Gothic Bold" w:hAnsi="Copperplate Gothic Bold"/>
                <w:sz w:val="20"/>
                <w:szCs w:val="20"/>
              </w:rPr>
              <w:t>Accomplishment Report for CASUAL Personnel</w:t>
            </w:r>
          </w:p>
        </w:tc>
        <w:tc>
          <w:tcPr>
            <w:tcW w:w="2300" w:type="dxa"/>
          </w:tcPr>
          <w:p/>
        </w:tc>
      </w:tr>
    </w:tbl>
    <w:p/>
    <w:p>
      <w:pPr>
        <w:jc w:val="center"/>
      </w:pPr>
      <w:r>
        <w:rPr>
          <w:rFonts w:ascii="Calibri" w:hAnsi="Calibri"/>
          <w:sz w:val="20"/>
          <w:szCs w:val="20"/>
          <w:b/>
        </w:rPr>
        <w:t>For the Period Covered: June 1-15, 2026</w:t>
      </w:r>
    </w:p>
    <w:tbl>
      <w:tblPr>
        <w:tblW w:w="10588" w:type="dxa"/>
        <w:tblBorders>
          <w:top w:val="nil"/>
          <w:left w:val="nil"/>
          <w:bottom w:val="nil"/>
          <w:right w:val="nil"/>
          <w:insideH w:val="nil"/>
          <w:insideV w:val="nil"/>
        </w:tblBorders>
      </w:tblPr>
      <w:tblGrid>
        <w:gridCol w:w="5294"/>
        <w:gridCol w:w="5294"/>
      </w:tblGrid>
      <w:tr>
        <w:tc>
          <w:tcPr>
            <w:tcW w:w="5294" w:type="dxa"/>
          </w:tcPr>
          <w:p>
            <w:pPr/>
            <w:r>
              <w:rPr>
                <w:rFonts w:ascii="Calibri" w:hAnsi="Calibri"/>
                <w:sz w:val="20"/>
                <w:szCs w:val="20"/>
              </w:rPr>
              <w:t xml:space="preserve">NAME:  </w:t>
            </w:r>
            <w:r>
              <w:rPr>
                <w:rFonts w:ascii="Calibri" w:hAnsi="Calibri"/>
                <w:sz w:val="20"/>
                <w:szCs w:val="20"/>
                <w:b/>
              </w:rPr>
              <w:t>______________________________</w:t>
            </w:r>
          </w:p>
        </w:tc>
        <w:tc>
          <w:tcPr>
            <w:tcW w:w="5294" w:type="dxa"/>
          </w:tcPr>
          <w:p>
            <w:pPr/>
            <w:r>
              <w:rPr>
                <w:rFonts w:ascii="Calibri" w:hAnsi="Calibri"/>
                <w:sz w:val="20"/>
                <w:szCs w:val="20"/>
              </w:rPr>
              <w:t xml:space="preserve">Position:  </w:t>
            </w:r>
            <w:r>
              <w:rPr>
                <w:rFonts w:ascii="Calibri" w:hAnsi="Calibri"/>
                <w:sz w:val="20"/>
                <w:szCs w:val="20"/>
              </w:rPr>
              <w:t>______________________________</w:t>
            </w:r>
          </w:p>
        </w:tc>
      </w:tr>
    </w:tbl>
    <w:p>
      <w:pPr>
        <w:ind w:left="720"/>
      </w:pPr>
      <w:r>
        <w:rPr>
          <w:rFonts w:ascii="Calibri" w:hAnsi="Calibri"/>
          <w:sz w:val="18"/>
          <w:szCs w:val="18"/>
          <w:i/>
        </w:rPr>
        <w:t>(Family Name, First Name, Middle Name)</w:t>
      </w:r>
    </w:p>
    <w:p>
      <w:pPr/>
      <w:r>
        <w:rPr>
          <w:rFonts w:ascii="Calibri" w:hAnsi="Calibri"/>
          <w:sz w:val="20"/>
          <w:szCs w:val="20"/>
          <w:b/>
          <w:i/>
        </w:rPr>
        <w:t>College/Office Assignment: ______________________________</w:t>
      </w:r>
    </w:p>
    <w:p/>
    <w:tbl>
      <w:tblPr>
        <w:tblW w:w="10588" w:type="dxa"/>
        <w:tblBorders>
          <w:top w:val="single" w:sz="4" w:color="000000"/>
          <w:left w:val="single" w:sz="4" w:color="000000"/>
          <w:bottom w:val="single" w:sz="4" w:color="000000"/>
          <w:right w:val="single" w:sz="4" w:color="000000"/>
          <w:insideH w:val="single" w:sz="4" w:color="000000"/>
          <w:insideV w:val="single" w:sz="4" w:color="000000"/>
        </w:tblBorders>
      </w:tblPr>
      <w:tblGrid>
        <w:gridCol w:w="729"/>
        <w:gridCol w:w="9859"/>
      </w:tblGrid>
      <w:tr>
        <w:tc>
          <w:tcPr>
            <w:tcW w:w="729" w:type="dxa"/>
            <w:vAlign w:val="center"/>
          </w:tcPr>
          <w:p>
            <w:pPr>
              <w:jc w:val="center"/>
            </w:pPr>
            <w:r>
              <w:rPr>
                <w:rFonts w:ascii="Cambria" w:hAnsi="Cambria"/>
                <w:sz w:val="20"/>
                <w:szCs w:val="20"/>
              </w:rPr>
              <w:t>1</w:t>
            </w:r>
          </w:p>
        </w:tc>
        <w:tc>
          <w:tcPr>
            <w:tcW w:w="9859" w:type="dxa"/>
            <w:vAlign w:val="center"/>
          </w:tcPr>
          <w:p/>
        </w:tc>
      </w:tr>
      <w:tr>
        <w:tc>
          <w:tcPr>
            <w:tcW w:w="729" w:type="dxa"/>
            <w:vAlign w:val="center"/>
          </w:tcPr>
          <w:p>
            <w:pPr>
              <w:jc w:val="center"/>
            </w:pPr>
            <w:r>
              <w:rPr>
                <w:rFonts w:ascii="Cambria" w:hAnsi="Cambria"/>
                <w:sz w:val="20"/>
                <w:szCs w:val="20"/>
              </w:rPr>
              <w:t>2</w:t>
            </w:r>
          </w:p>
        </w:tc>
        <w:tc>
          <w:tcPr>
            <w:tcW w:w="9859" w:type="dxa"/>
            <w:vAlign w:val="center"/>
          </w:tcPr>
          <w:p/>
        </w:tc>
      </w:tr>
      <w:tr>
        <w:tc>
          <w:tcPr>
            <w:tcW w:w="729" w:type="dxa"/>
            <w:vAlign w:val="center"/>
          </w:tcPr>
          <w:p>
            <w:pPr>
              <w:jc w:val="center"/>
            </w:pPr>
            <w:r>
              <w:rPr>
                <w:rFonts w:ascii="Cambria" w:hAnsi="Cambria"/>
                <w:sz w:val="20"/>
                <w:szCs w:val="20"/>
              </w:rPr>
              <w:t>3</w:t>
            </w:r>
          </w:p>
        </w:tc>
        <w:tc>
          <w:tcPr>
            <w:tcW w:w="9859" w:type="dxa"/>
            <w:vAlign w:val="center"/>
          </w:tcPr>
          <w:p/>
        </w:tc>
      </w:tr>
      <w:tr>
        <w:tc>
          <w:tcPr>
            <w:tcW w:w="729" w:type="dxa"/>
            <w:vAlign w:val="center"/>
          </w:tcPr>
          <w:p>
            <w:pPr>
              <w:jc w:val="center"/>
            </w:pPr>
            <w:r>
              <w:rPr>
                <w:rFonts w:ascii="Cambria" w:hAnsi="Cambria"/>
                <w:sz w:val="20"/>
                <w:szCs w:val="20"/>
              </w:rPr>
              <w:t>4</w:t>
            </w:r>
          </w:p>
        </w:tc>
        <w:tc>
          <w:tcPr>
            <w:tcW w:w="9859" w:type="dxa"/>
            <w:vAlign w:val="center"/>
          </w:tcPr>
          <w:p>
            <w:pPr/>
            <w:r>
              <w:rPr>
                <w:rFonts w:ascii="Arial Narrow" w:hAnsi="Arial Narrow"/>
                <w:sz w:val="20"/>
                <w:szCs w:val="20"/>
              </w:rPr>
              <w:t>Added a feature that automatically displays the current page name in the browser tab, making it easier for users to identify open pages.</w:t>
            </w:r>
          </w:p>
          <w:p>
            <w:pPr/>
            <w:r>
              <w:rPr>
                <w:rFonts w:ascii="Arial Narrow" w:hAnsi="Arial Narrow"/>
                <w:sz w:val="20"/>
                <w:szCs w:val="20"/>
              </w:rPr>
              <w:t>Created a dedicated reference page listing all system calculation formulas for staff reference.</w:t>
            </w:r>
          </w:p>
        </w:tc>
      </w:tr>
      <w:tr>
        <w:tc>
          <w:tcPr>
            <w:tcW w:w="729" w:type="dxa"/>
            <w:vAlign w:val="center"/>
          </w:tcPr>
          <w:p>
            <w:pPr>
              <w:jc w:val="center"/>
            </w:pPr>
            <w:r>
              <w:rPr>
                <w:rFonts w:ascii="Cambria" w:hAnsi="Cambria"/>
                <w:sz w:val="20"/>
                <w:szCs w:val="20"/>
              </w:rPr>
              <w:t>5</w:t>
            </w:r>
          </w:p>
        </w:tc>
        <w:tc>
          <w:tcPr>
            <w:tcW w:w="9859" w:type="dxa"/>
            <w:vAlign w:val="center"/>
          </w:tcPr>
          <w:p/>
        </w:tc>
      </w:tr>
      <w:tr>
        <w:tc>
          <w:tcPr>
            <w:tcW w:w="729" w:type="dxa"/>
            <w:vAlign w:val="center"/>
          </w:tcPr>
          <w:p>
            <w:pPr>
              <w:jc w:val="center"/>
            </w:pPr>
            <w:r>
              <w:rPr>
                <w:rFonts w:ascii="Cambria" w:hAnsi="Cambria"/>
                <w:sz w:val="20"/>
                <w:szCs w:val="20"/>
              </w:rPr>
              <w:t>6</w:t>
            </w:r>
          </w:p>
        </w:tc>
        <w:tc>
          <w:tcPr>
            <w:tcW w:w="9859" w:type="dxa"/>
            <w:vAlign w:val="center"/>
          </w:tcPr>
          <w:p>
            <w:pPr/>
            <w:r>
              <w:rPr>
                <w:rFonts w:ascii="Arial Narrow" w:hAnsi="Arial Narrow"/>
                <w:sz w:val="20"/>
                <w:szCs w:val="20"/>
                <w:i/>
              </w:rPr>
              <w:t>Saturday</w:t>
            </w:r>
          </w:p>
        </w:tc>
      </w:tr>
      <w:tr>
        <w:tc>
          <w:tcPr>
            <w:tcW w:w="729" w:type="dxa"/>
            <w:vAlign w:val="center"/>
          </w:tcPr>
          <w:p>
            <w:pPr>
              <w:jc w:val="center"/>
            </w:pPr>
            <w:r>
              <w:rPr>
                <w:rFonts w:ascii="Cambria" w:hAnsi="Cambria"/>
                <w:sz w:val="20"/>
                <w:szCs w:val="20"/>
              </w:rPr>
              <w:t>7</w:t>
            </w:r>
          </w:p>
        </w:tc>
        <w:tc>
          <w:tcPr>
            <w:tcW w:w="9859" w:type="dxa"/>
            <w:vAlign w:val="center"/>
          </w:tcPr>
          <w:p>
            <w:pPr/>
            <w:r>
              <w:rPr>
                <w:rFonts w:ascii="Arial Narrow" w:hAnsi="Arial Narrow"/>
                <w:sz w:val="20"/>
                <w:szCs w:val="20"/>
                <w:i/>
              </w:rPr>
              <w:t>Sunday</w:t>
            </w:r>
          </w:p>
        </w:tc>
      </w:tr>
      <w:tr>
        <w:tc>
          <w:tcPr>
            <w:tcW w:w="729" w:type="dxa"/>
            <w:vAlign w:val="center"/>
          </w:tcPr>
          <w:p>
            <w:pPr>
              <w:jc w:val="center"/>
            </w:pPr>
            <w:r>
              <w:rPr>
                <w:rFonts w:ascii="Cambria" w:hAnsi="Cambria"/>
                <w:sz w:val="20"/>
                <w:szCs w:val="20"/>
              </w:rPr>
              <w:t>8</w:t>
            </w:r>
          </w:p>
        </w:tc>
        <w:tc>
          <w:tcPr>
            <w:tcW w:w="9859" w:type="dxa"/>
            <w:vAlign w:val="center"/>
          </w:tcPr>
          <w:p>
            <w:pPr/>
            <w:r>
              <w:rPr>
                <w:rFonts w:ascii="Arial Narrow" w:hAnsi="Arial Narrow"/>
                <w:sz w:val="20"/>
                <w:szCs w:val="20"/>
              </w:rPr>
              <w:t>Redesigned the File Manager with improved usability features including a year-first date filter, a unified file action menu, a side-by-side PDF preview panel, an inline document password unlock, and keyboard navigation support.</w:t>
            </w:r>
          </w:p>
        </w:tc>
      </w:tr>
      <w:tr>
        <w:tc>
          <w:tcPr>
            <w:tcW w:w="729" w:type="dxa"/>
            <w:vAlign w:val="center"/>
          </w:tcPr>
          <w:p>
            <w:pPr>
              <w:jc w:val="center"/>
            </w:pPr>
            <w:r>
              <w:rPr>
                <w:rFonts w:ascii="Cambria" w:hAnsi="Cambria"/>
                <w:sz w:val="20"/>
                <w:szCs w:val="20"/>
              </w:rPr>
              <w:t>9</w:t>
            </w:r>
          </w:p>
        </w:tc>
        <w:tc>
          <w:tcPr>
            <w:tcW w:w="9859" w:type="dxa"/>
            <w:vAlign w:val="center"/>
          </w:tcPr>
          <w:p>
            <w:pPr/>
            <w:r>
              <w:rPr>
                <w:rFonts w:ascii="Arial Narrow" w:hAnsi="Arial Narrow"/>
                <w:sz w:val="20"/>
                <w:szCs w:val="20"/>
              </w:rPr>
              <w:t>Upgraded all five charts on the admin dashboard to a new charting library, improving visual performance and replacing outdated chart components with modern equivalents for payroll distribution, performance, deductions, budget, and project breakdown.</w:t>
            </w:r>
          </w:p>
          <w:p>
            <w:pPr/>
            <w:r>
              <w:rPr>
                <w:rFonts w:ascii="Arial Narrow" w:hAnsi="Arial Narrow"/>
                <w:sz w:val="20"/>
                <w:szCs w:val="20"/>
              </w:rPr>
              <w:t>Redesigned the visual appearance of all admin dashboard charts to use a consistent, clean color scheme with improved tooltips, grid lines, and styling.</w:t>
            </w:r>
          </w:p>
          <w:p>
            <w:pPr/>
            <w:r>
              <w:rPr>
                <w:rFonts w:ascii="Arial Narrow" w:hAnsi="Arial Narrow"/>
                <w:sz w:val="20"/>
                <w:szCs w:val="20"/>
              </w:rPr>
              <w:t>Updated the system design documentation to include full specifications and guidelines for the new dashboard chart styles and color system.</w:t>
            </w:r>
          </w:p>
          <w:p>
            <w:pPr/>
            <w:r>
              <w:rPr>
                <w:rFonts w:ascii="Arial Narrow" w:hAnsi="Arial Narrow"/>
                <w:sz w:val="20"/>
                <w:szCs w:val="20"/>
              </w:rPr>
              <w:t>Developed an automated import tool that reads HR-supplied Excel files and updates employee Proportional Vacation Pay records in the system, with options for a test run, custom starting row, and data reset.</w:t>
            </w:r>
          </w:p>
          <w:p>
            <w:pPr/>
            <w:r>
              <w:rPr>
                <w:rFonts w:ascii="Arial Narrow" w:hAnsi="Arial Narrow"/>
                <w:sz w:val="20"/>
                <w:szCs w:val="20"/>
              </w:rPr>
              <w:t>Fixed a bug in the Plantilla Payroll generator where employees on Proportional Vacation Pay were not being correctly excluded from the regular payroll and routed to the appropriate PVP worksheet.</w:t>
            </w:r>
          </w:p>
          <w:p>
            <w:pPr/>
            <w:r>
              <w:rPr>
                <w:rFonts w:ascii="Arial Narrow" w:hAnsi="Arial Narrow"/>
                <w:sz w:val="20"/>
                <w:szCs w:val="20"/>
              </w:rPr>
              <w:t>Cleaned up and improved the internal processing logic of the PVP Payroll generation feature for more reliable and maintainable operation.</w:t>
            </w:r>
          </w:p>
          <w:p>
            <w:pPr/>
            <w:r>
              <w:rPr>
                <w:rFonts w:ascii="Arial Narrow" w:hAnsi="Arial Narrow"/>
                <w:sz w:val="20"/>
                <w:szCs w:val="20"/>
              </w:rPr>
              <w:t>Added a new data endpoint to the Employees Library that provides summary statistics about the employee roster.</w:t>
            </w:r>
          </w:p>
          <w:p>
            <w:pPr/>
            <w:r>
              <w:rPr>
                <w:rFonts w:ascii="Arial Narrow" w:hAnsi="Arial Narrow"/>
                <w:sz w:val="20"/>
                <w:szCs w:val="20"/>
              </w:rPr>
              <w:t>Improved the appearance of the Employee Details edit form with cleaner section labels, field hints, and borders for a more polished look.</w:t>
            </w:r>
          </w:p>
          <w:p>
            <w:pPr/>
            <w:r>
              <w:rPr>
                <w:rFonts w:ascii="Arial Narrow" w:hAnsi="Arial Narrow"/>
                <w:sz w:val="20"/>
                <w:szCs w:val="20"/>
              </w:rPr>
              <w:t>Added a loading placeholder to the Employee Details panel so users see a structured preview while employee information is being retrieved.</w:t>
            </w:r>
          </w:p>
          <w:p>
            <w:pPr/>
            <w:r>
              <w:rPr>
                <w:rFonts w:ascii="Arial Narrow" w:hAnsi="Arial Narrow"/>
                <w:sz w:val="20"/>
                <w:szCs w:val="20"/>
              </w:rPr>
              <w:t>Performed a major overhaul of the shared payroll table component, improving its layout and overall structure for better usability.</w:t>
            </w:r>
          </w:p>
          <w:p>
            <w:pPr/>
            <w:r>
              <w:rPr>
                <w:rFonts w:ascii="Arial Narrow" w:hAnsi="Arial Narrow"/>
                <w:sz w:val="20"/>
                <w:szCs w:val="20"/>
              </w:rPr>
              <w:t>Fixed visual inconsistencies in the navigation bar and sidebar when the system is used in light mode.</w:t>
            </w:r>
          </w:p>
          <w:p>
            <w:pPr/>
            <w:r>
              <w:rPr>
                <w:rFonts w:ascii="Arial Narrow" w:hAnsi="Arial Narrow"/>
                <w:sz w:val="20"/>
                <w:szCs w:val="20"/>
              </w:rPr>
              <w:t>Updated the color scheme of benefit table headers across multiple benefit types to match the rest of the system interface in light mode.</w:t>
            </w:r>
          </w:p>
          <w:p>
            <w:pPr/>
            <w:r>
              <w:rPr>
                <w:rFonts w:ascii="Arial Narrow" w:hAnsi="Arial Narrow"/>
                <w:sz w:val="20"/>
                <w:szCs w:val="20"/>
              </w:rPr>
              <w:t>Corrected a column label in the PVP First-Half Report, renaming an incorrectly labeled field to its proper designation.</w:t>
            </w:r>
          </w:p>
          <w:p>
            <w:pPr/>
            <w:r>
              <w:rPr>
                <w:rFonts w:ascii="Arial Narrow" w:hAnsi="Arial Narrow"/>
                <w:sz w:val="20"/>
                <w:szCs w:val="20"/>
              </w:rPr>
              <w:t>Added the required charting libraries to the project to support the new dashboard chart features.</w:t>
            </w:r>
          </w:p>
          <w:p>
            <w:pPr/>
            <w:r>
              <w:rPr>
                <w:rFonts w:ascii="Arial Narrow" w:hAnsi="Arial Narrow"/>
                <w:sz w:val="20"/>
                <w:szCs w:val="20"/>
              </w:rPr>
              <w:t>Redesigned the Employee Details page with a modernized layout including an improved navigation bar, cleaner profile display, better-organized tabs, and updated styling throughout.</w:t>
            </w:r>
          </w:p>
          <w:p>
            <w:pPr/>
            <w:r>
              <w:rPr>
                <w:rFonts w:ascii="Arial Narrow" w:hAnsi="Arial Narrow"/>
                <w:sz w:val="20"/>
                <w:szCs w:val="20"/>
              </w:rPr>
              <w:t>Redesigned the Employee Details edit form with clearer section labels, better-organized input fields, improved dropdown menus, and a fixed issue where gender and personnel classification dropdowns were not displaying options correctly.</w:t>
            </w:r>
          </w:p>
          <w:p>
            <w:pPr/>
            <w:r>
              <w:rPr>
                <w:rFonts w:ascii="Arial Narrow" w:hAnsi="Arial Narrow"/>
                <w:sz w:val="20"/>
                <w:szCs w:val="20"/>
              </w:rPr>
              <w:t>Redesigned all inner tab sections of the Employee Details panel including personal information, compensation table, deductions, benefits, and remittances, with a cleaner card-based layout and improved data presentation.</w:t>
            </w:r>
          </w:p>
        </w:tc>
      </w:tr>
      <w:tr>
        <w:tc>
          <w:tcPr>
            <w:tcW w:w="729" w:type="dxa"/>
            <w:vAlign w:val="center"/>
          </w:tcPr>
          <w:p>
            <w:pPr>
              <w:jc w:val="center"/>
            </w:pPr>
            <w:r>
              <w:rPr>
                <w:rFonts w:ascii="Cambria" w:hAnsi="Cambria"/>
                <w:sz w:val="20"/>
                <w:szCs w:val="20"/>
              </w:rPr>
              <w:t>10</w:t>
            </w:r>
          </w:p>
        </w:tc>
        <w:tc>
          <w:tcPr>
            <w:tcW w:w="9859" w:type="dxa"/>
            <w:vAlign w:val="center"/>
          </w:tcPr>
          <w:p>
            <w:pPr/>
            <w:r>
              <w:rPr>
                <w:rFonts w:ascii="Arial Narrow" w:hAnsi="Arial Narrow"/>
                <w:sz w:val="20"/>
                <w:szCs w:val="20"/>
              </w:rPr>
              <w:t>Redesigned the Benefits index page with a modern card-based layout, distinct icons per benefit type, improved hover effects, and a placeholder prompt when no benefit cards are available.</w:t>
            </w:r>
          </w:p>
          <w:p>
            <w:pPr/>
            <w:r>
              <w:rPr>
                <w:rFonts w:ascii="Arial Narrow" w:hAnsi="Arial Narrow"/>
                <w:sz w:val="20"/>
                <w:szCs w:val="20"/>
              </w:rPr>
              <w:t>Redesigned the PVP Payroll edit form with a cleaner full-screen layout, reorganized compensation and deduction sections, an improved summary panel, and a clearer net amount display.</w:t>
            </w:r>
          </w:p>
          <w:p>
            <w:pPr/>
            <w:r>
              <w:rPr>
                <w:rFonts w:ascii="Arial Narrow" w:hAnsi="Arial Narrow"/>
                <w:sz w:val="20"/>
                <w:szCs w:val="20"/>
              </w:rPr>
              <w:t>Redesigned the Mid-Year Bonus page including its statistics cards, search toolbar, data table, and record dialogs with a modern, consistent appearance and improved readability.</w:t>
            </w:r>
          </w:p>
          <w:p>
            <w:pPr/>
            <w:r>
              <w:rPr>
                <w:rFonts w:ascii="Arial Narrow" w:hAnsi="Arial Narrow"/>
                <w:sz w:val="20"/>
                <w:szCs w:val="20"/>
              </w:rPr>
              <w:t>Added an animated glowing border effect to the Sign In button on the login page for a more polished appearance.</w:t>
            </w:r>
          </w:p>
          <w:p>
            <w:pPr/>
            <w:r>
              <w:rPr>
                <w:rFonts w:ascii="Arial Narrow" w:hAnsi="Arial Narrow"/>
                <w:sz w:val="20"/>
                <w:szCs w:val="20"/>
              </w:rPr>
              <w:t>Redesigned the login page with improved photo brightness, updated accent colors, a cleaner sign-in form, and a consistent light theme across all login dialogs.</w:t>
            </w:r>
          </w:p>
          <w:p>
            <w:pPr/>
            <w:r>
              <w:rPr>
                <w:rFonts w:ascii="Arial Narrow" w:hAnsi="Arial Narrow"/>
                <w:sz w:val="20"/>
                <w:szCs w:val="20"/>
              </w:rPr>
              <w:t>Improved the Index of Payments table by freezing the Total column in place while scrolling, adding section dividers for Earnings, Deductions, and Summary, hiding months with no data by default with an option to reveal them, and cleaning up amount formatting.</w:t>
            </w:r>
          </w:p>
          <w:p>
            <w:pPr/>
            <w:r>
              <w:rPr>
                <w:rFonts w:ascii="Arial Narrow" w:hAnsi="Arial Narrow"/>
                <w:sz w:val="20"/>
                <w:szCs w:val="20"/>
              </w:rPr>
              <w:t>Extracted the reusable Undo Delete button into a shared component and applied it consistently across twelve different pages, standardizing its appearance throughout the system.</w:t>
            </w:r>
          </w:p>
        </w:tc>
      </w:tr>
      <w:tr>
        <w:tc>
          <w:tcPr>
            <w:tcW w:w="729" w:type="dxa"/>
            <w:vAlign w:val="center"/>
          </w:tcPr>
          <w:p>
            <w:pPr>
              <w:jc w:val="center"/>
            </w:pPr>
            <w:r>
              <w:rPr>
                <w:rFonts w:ascii="Cambria" w:hAnsi="Cambria"/>
                <w:sz w:val="20"/>
                <w:szCs w:val="20"/>
              </w:rPr>
              <w:t>11</w:t>
            </w:r>
          </w:p>
        </w:tc>
        <w:tc>
          <w:tcPr>
            <w:tcW w:w="9859" w:type="dxa"/>
            <w:vAlign w:val="center"/>
          </w:tcPr>
          <w:p>
            <w:pPr/>
            <w:r>
              <w:rPr>
                <w:rFonts w:ascii="Arial Narrow" w:hAnsi="Arial Narrow"/>
                <w:sz w:val="20"/>
                <w:szCs w:val="20"/>
              </w:rPr>
              <w:t>Created two reusable input components for text fields and dropdown selectors and applied them across 219 system pages, ensuring a consistent look and behavior for all form inputs throughout the admin system.</w:t>
            </w:r>
          </w:p>
          <w:p>
            <w:pPr/>
            <w:r>
              <w:rPr>
                <w:rFonts w:ascii="Arial Narrow" w:hAnsi="Arial Narrow"/>
                <w:sz w:val="20"/>
                <w:szCs w:val="20"/>
              </w:rPr>
              <w:t>Set a single consistent font declaration for the entire system so that all text elements, including form fields and buttons, use the same typeface without needing per-page overrides.</w:t>
            </w:r>
          </w:p>
          <w:p>
            <w:pPr/>
            <w:r>
              <w:rPr>
                <w:rFonts w:ascii="Arial Narrow" w:hAnsi="Arial Narrow"/>
                <w:sz w:val="20"/>
                <w:szCs w:val="20"/>
              </w:rPr>
              <w:t>Updated table header styles across 27 pages to use the system's standard theme colors instead of hardcoded dark backgrounds, ensuring proper appearance in both light and dark modes.</w:t>
            </w:r>
          </w:p>
          <w:p>
            <w:pPr/>
            <w:r>
              <w:rPr>
                <w:rFonts w:ascii="Arial Narrow" w:hAnsi="Arial Narrow"/>
                <w:sz w:val="20"/>
                <w:szCs w:val="20"/>
              </w:rPr>
              <w:t>Updated dialog and modal header styles across all admin pages in three sweeps, replacing hardcoded colors with system theme variables for consistent appearance in both light and dark modes.</w:t>
            </w:r>
          </w:p>
          <w:p>
            <w:pPr/>
            <w:r>
              <w:rPr>
                <w:rFonts w:ascii="Arial Narrow" w:hAnsi="Arial Narrow"/>
                <w:sz w:val="20"/>
                <w:szCs w:val="20"/>
              </w:rPr>
              <w:t>Fixed visual issues introduced during the dialog header update, correcting text contrast, icon backgrounds, and close button colors across 48 pages.</w:t>
            </w:r>
          </w:p>
          <w:p>
            <w:pPr/>
            <w:r>
              <w:rPr>
                <w:rFonts w:ascii="Arial Narrow" w:hAnsi="Arial Narrow"/>
                <w:sz w:val="20"/>
                <w:szCs w:val="20"/>
              </w:rPr>
              <w:t>Updated buttons and active filter indicators across 46 pages to use the standard blue color instead of dark hardcoded backgrounds, improving visual consistency.</w:t>
            </w:r>
          </w:p>
          <w:p>
            <w:pPr/>
            <w:r>
              <w:rPr>
                <w:rFonts w:ascii="Arial Narrow" w:hAnsi="Arial Narrow"/>
                <w:sz w:val="20"/>
                <w:szCs w:val="20"/>
              </w:rPr>
              <w:t>Redesigned the public Announcements listing page with a featured post highlight, a responsive article grid, category filters, search functionality, smooth loading placeholders, and relative date labels.</w:t>
            </w:r>
          </w:p>
          <w:p>
            <w:pPr/>
            <w:r>
              <w:rPr>
                <w:rFonts w:ascii="Arial Narrow" w:hAnsi="Arial Narrow"/>
                <w:sz w:val="20"/>
                <w:szCs w:val="20"/>
              </w:rPr>
              <w:t>Redesigned the public Announcement detail page with a focused reading layout, smart image display, a copy-link button, related posts section, and proper loading and error states.</w:t>
            </w:r>
          </w:p>
          <w:p>
            <w:pPr/>
            <w:r>
              <w:rPr>
                <w:rFonts w:ascii="Arial Narrow" w:hAnsi="Arial Narrow"/>
                <w:sz w:val="20"/>
                <w:szCs w:val="20"/>
              </w:rPr>
              <w:t>Added a comprehensive dark mode override system to the shared stylesheet that automatically applies correct dark mode colors to all standard page elements across approximately 400 admin pages without requiring individual file changes.</w:t>
            </w:r>
          </w:p>
          <w:p>
            <w:pPr/>
            <w:r>
              <w:rPr>
                <w:rFonts w:ascii="Arial Narrow" w:hAnsi="Arial Narrow"/>
                <w:sz w:val="20"/>
                <w:szCs w:val="20"/>
              </w:rPr>
              <w:t>Fixed dark mode color issues in the Add Position dialog, replacing hardcoded light colors with system theme variables.</w:t>
            </w:r>
          </w:p>
          <w:p>
            <w:pPr/>
            <w:r>
              <w:rPr>
                <w:rFonts w:ascii="Arial Narrow" w:hAnsi="Arial Narrow"/>
                <w:sz w:val="20"/>
                <w:szCs w:val="20"/>
              </w:rPr>
              <w:t>Redesigned the Add Project dialog to match the standard layout used by all other system dialogs, with consistent styling and proper dark mode support.</w:t>
            </w:r>
          </w:p>
          <w:p>
            <w:pPr/>
            <w:r>
              <w:rPr>
                <w:rFonts w:ascii="Arial Narrow" w:hAnsi="Arial Narrow"/>
                <w:sz w:val="20"/>
                <w:szCs w:val="20"/>
              </w:rPr>
              <w:t>Improved the dark mode appearance of surfaces across the system by aligning color values and adding subtle highlights to cards, panels, buttons, and dropdown menus to give them a more polished look.</w:t>
            </w:r>
          </w:p>
          <w:p>
            <w:pPr/>
            <w:r>
              <w:rPr>
                <w:rFonts w:ascii="Arial Narrow" w:hAnsi="Arial Narrow"/>
                <w:sz w:val="20"/>
                <w:szCs w:val="20"/>
              </w:rPr>
              <w:t>Fixed dark mode color issues in the Payroll Action toolbar component, replacing all hardcoded colors with system theme variables for correct display in both light and dark modes.</w:t>
            </w:r>
          </w:p>
        </w:tc>
      </w:tr>
      <w:tr>
        <w:tc>
          <w:tcPr>
            <w:tcW w:w="729" w:type="dxa"/>
            <w:vAlign w:val="center"/>
          </w:tcPr>
          <w:p>
            <w:pPr>
              <w:jc w:val="center"/>
            </w:pPr>
            <w:r>
              <w:rPr>
                <w:rFonts w:ascii="Cambria" w:hAnsi="Cambria"/>
                <w:sz w:val="20"/>
                <w:szCs w:val="20"/>
              </w:rPr>
              <w:t>12</w:t>
            </w:r>
          </w:p>
        </w:tc>
        <w:tc>
          <w:tcPr>
            <w:tcW w:w="9859" w:type="dxa"/>
            <w:vAlign w:val="center"/>
          </w:tcPr>
          <w:p/>
        </w:tc>
      </w:tr>
      <w:tr>
        <w:tc>
          <w:tcPr>
            <w:tcW w:w="729" w:type="dxa"/>
            <w:vAlign w:val="center"/>
          </w:tcPr>
          <w:p>
            <w:pPr>
              <w:jc w:val="center"/>
            </w:pPr>
            <w:r>
              <w:rPr>
                <w:rFonts w:ascii="Cambria" w:hAnsi="Cambria"/>
                <w:sz w:val="20"/>
                <w:szCs w:val="20"/>
              </w:rPr>
              <w:t>13</w:t>
            </w:r>
          </w:p>
        </w:tc>
        <w:tc>
          <w:tcPr>
            <w:tcW w:w="9859" w:type="dxa"/>
            <w:vAlign w:val="center"/>
          </w:tcPr>
          <w:p>
            <w:pPr/>
            <w:r>
              <w:rPr>
                <w:rFonts w:ascii="Arial Narrow" w:hAnsi="Arial Narrow"/>
                <w:sz w:val="20"/>
                <w:szCs w:val="20"/>
                <w:i/>
              </w:rPr>
              <w:t>Saturday</w:t>
            </w:r>
          </w:p>
        </w:tc>
      </w:tr>
      <w:tr>
        <w:tc>
          <w:tcPr>
            <w:tcW w:w="729" w:type="dxa"/>
            <w:vAlign w:val="center"/>
          </w:tcPr>
          <w:p>
            <w:pPr>
              <w:jc w:val="center"/>
            </w:pPr>
            <w:r>
              <w:rPr>
                <w:rFonts w:ascii="Cambria" w:hAnsi="Cambria"/>
                <w:sz w:val="20"/>
                <w:szCs w:val="20"/>
              </w:rPr>
              <w:t>14</w:t>
            </w:r>
          </w:p>
        </w:tc>
        <w:tc>
          <w:tcPr>
            <w:tcW w:w="9859" w:type="dxa"/>
            <w:vAlign w:val="center"/>
          </w:tcPr>
          <w:p>
            <w:pPr/>
            <w:r>
              <w:rPr>
                <w:rFonts w:ascii="Arial Narrow" w:hAnsi="Arial Narrow"/>
                <w:sz w:val="20"/>
                <w:szCs w:val="20"/>
                <w:i/>
              </w:rPr>
              <w:t>Sunday</w:t>
            </w:r>
          </w:p>
        </w:tc>
      </w:tr>
      <w:tr>
        <w:tc>
          <w:tcPr>
            <w:tcW w:w="729" w:type="dxa"/>
            <w:vAlign w:val="center"/>
          </w:tcPr>
          <w:p>
            <w:pPr>
              <w:jc w:val="center"/>
            </w:pPr>
            <w:r>
              <w:rPr>
                <w:rFonts w:ascii="Cambria" w:hAnsi="Cambria"/>
                <w:sz w:val="20"/>
                <w:szCs w:val="20"/>
              </w:rPr>
              <w:t>15</w:t>
            </w:r>
          </w:p>
        </w:tc>
        <w:tc>
          <w:tcPr>
            <w:tcW w:w="9859" w:type="dxa"/>
            <w:vAlign w:val="center"/>
          </w:tcPr>
          <w:p>
            <w:pPr/>
            <w:r>
              <w:rPr>
                <w:rFonts w:ascii="Arial Narrow" w:hAnsi="Arial Narrow"/>
                <w:sz w:val="20"/>
                <w:szCs w:val="20"/>
              </w:rPr>
              <w:t>Fixed dark mode display issues on the Retirement Types library page by replacing hardcoded light colors with system theme variables.</w:t>
            </w:r>
          </w:p>
          <w:p>
            <w:pPr/>
            <w:r>
              <w:rPr>
                <w:rFonts w:ascii="Arial Narrow" w:hAnsi="Arial Narrow"/>
                <w:sz w:val="20"/>
                <w:szCs w:val="20"/>
              </w:rPr>
              <w:t>Fixed dark mode display issues on the Salary Matrix page and removed the fixed-width layout constraint so the table now uses the full available screen width.</w:t>
            </w:r>
          </w:p>
          <w:p>
            <w:pPr/>
            <w:r>
              <w:rPr>
                <w:rFonts w:ascii="Arial Narrow" w:hAnsi="Arial Narrow"/>
                <w:sz w:val="20"/>
                <w:szCs w:val="20"/>
              </w:rPr>
              <w:t>Fixed the readability of salary heat map cells in dark mode by assigning appropriate text colors to each heat level so figures remain clearly visible against their colored backgrounds.</w:t>
            </w:r>
          </w:p>
          <w:p>
            <w:pPr/>
            <w:r>
              <w:rPr>
                <w:rFonts w:ascii="Arial Narrow" w:hAnsi="Arial Narrow"/>
                <w:sz w:val="20"/>
                <w:szCs w:val="20"/>
              </w:rPr>
              <w:t>Fixed dark mode display issues across the IPCR library page and its toolbar and table components, including performance rating badges, search inputs, toolbar buttons, and the rating popover.</w:t>
            </w:r>
          </w:p>
          <w:p>
            <w:pPr/>
            <w:r>
              <w:rPr>
                <w:rFonts w:ascii="Arial Narrow" w:hAnsi="Arial Narrow"/>
                <w:sz w:val="20"/>
                <w:szCs w:val="20"/>
              </w:rPr>
              <w:t>Fixed dark mode display issues on the Formulas reference page, including the search bar, filter chips, formula cards, and expression blocks.</w:t>
            </w:r>
          </w:p>
          <w:p>
            <w:pPr/>
            <w:r>
              <w:rPr>
                <w:rFonts w:ascii="Arial Narrow" w:hAnsi="Arial Narrow"/>
                <w:sz w:val="20"/>
                <w:szCs w:val="20"/>
              </w:rPr>
              <w:t>Fixed dark mode display issues on the Error Logs page across all elements including the statistics strip, table, severity and source badges, detail drawer, and notification messages.</w:t>
            </w:r>
          </w:p>
          <w:p>
            <w:pPr/>
            <w:r>
              <w:rPr>
                <w:rFonts w:ascii="Arial Narrow" w:hAnsi="Arial Narrow"/>
                <w:sz w:val="20"/>
                <w:szCs w:val="20"/>
              </w:rPr>
              <w:t>Fixed incorrect column mappings in the Plantilla Import tool and added the ability to import employee phone numbers, addresses, college or office assignments, and department or unit assignments. College and department records are automatically matched or created during import. A new college or office field was also added to the employee records, and the import was successfully run, updating 701 employee records.</w:t>
            </w:r>
          </w:p>
          <w:p>
            <w:pPr/>
            <w:r>
              <w:rPr>
                <w:rFonts w:ascii="Arial Narrow" w:hAnsi="Arial Narrow"/>
                <w:sz w:val="20"/>
                <w:szCs w:val="20"/>
              </w:rPr>
              <w:t>Updated the Employee Details panel to display the employee's College or Office assignment, sourced from the newly imported data.</w:t>
            </w:r>
          </w:p>
          <w:p>
            <w:pPr/>
            <w:r>
              <w:rPr>
                <w:rFonts w:ascii="Arial Narrow" w:hAnsi="Arial Narrow"/>
                <w:sz w:val="20"/>
                <w:szCs w:val="20"/>
              </w:rPr>
              <w:t>Merged the Colleges, Offices, and Delivery Units into a single unified library page, simplifying navigation and eliminating the need for a separate college or office management page.</w:t>
            </w:r>
          </w:p>
        </w:tc>
      </w:tr>
    </w:tbl>
    <w:p/>
    <w:tbl>
      <w:tblPr>
        <w:tblW w:w="10588" w:type="dxa"/>
        <w:tblBorders>
          <w:top w:val="nil"/>
          <w:left w:val="nil"/>
          <w:bottom w:val="nil"/>
          <w:right w:val="nil"/>
          <w:insideH w:val="nil"/>
          <w:insideV w:val="nil"/>
        </w:tblBorders>
      </w:tblPr>
      <w:tblGrid>
        <w:gridCol w:w="5294"/>
        <w:gridCol w:w="5294"/>
      </w:tblGrid>
      <w:tr>
        <w:tc>
          <w:tcPr>
            <w:tcW w:w="5294" w:type="dxa"/>
          </w:tcPr>
          <w:p>
            <w:pPr>
              <w:jc w:val="center"/>
            </w:pPr>
            <w:r>
              <w:rPr>
                <w:rFonts w:ascii="Cambria" w:hAnsi="Cambria"/>
                <w:sz w:val="20"/>
                <w:szCs w:val="20"/>
              </w:rPr>
              <w:t>Reported by:</w:t>
            </w:r>
          </w:p>
        </w:tc>
        <w:tc>
          <w:tcPr>
            <w:tcW w:w="5294" w:type="dxa"/>
          </w:tcPr>
          <w:p>
            <w:pPr>
              <w:jc w:val="center"/>
            </w:pPr>
            <w:r>
              <w:rPr>
                <w:rFonts w:ascii="Cambria" w:hAnsi="Cambria"/>
                <w:sz w:val="20"/>
                <w:szCs w:val="20"/>
              </w:rPr>
              <w:t>Certified Correct:</w:t>
            </w:r>
          </w:p>
        </w:tc>
      </w:tr>
      <w:tr>
        <w:tc>
          <w:tcPr>
            <w:tcW w:w="5294" w:type="dxa"/>
          </w:tcPr>
          <w:p>
            <w:pPr>
              <w:spacing w:after="600"/>
            </w:pPr>
          </w:p>
        </w:tc>
        <w:tc>
          <w:tcPr>
            <w:tcW w:w="5294" w:type="dxa"/>
          </w:tcPr>
          <w:p>
            <w:pPr>
              <w:spacing w:after="600"/>
            </w:pPr>
          </w:p>
        </w:tc>
      </w:tr>
      <w:tr>
        <w:tc>
          <w:tcPr>
            <w:tcW w:w="5294" w:type="dxa"/>
          </w:tcPr>
          <w:p>
            <w:pPr>
              <w:jc w:val="center"/>
            </w:pPr>
            <w:r>
              <w:rPr>
                <w:rFonts w:ascii="Calibri" w:hAnsi="Calibri"/>
                <w:sz w:val="20"/>
                <w:szCs w:val="20"/>
                <w:b/>
              </w:rPr>
              <w:t>______________________________</w:t>
            </w:r>
          </w:p>
          <w:p>
            <w:pPr>
              <w:jc w:val="center"/>
            </w:pPr>
            <w:r>
              <w:rPr>
                <w:rFonts w:ascii="Calibri" w:hAnsi="Calibri"/>
                <w:sz w:val="20"/>
                <w:szCs w:val="20"/>
              </w:rPr>
              <w:t>Signature Over Printed Name</w:t>
            </w:r>
          </w:p>
        </w:tc>
        <w:tc>
          <w:tcPr>
            <w:tcW w:w="5294" w:type="dxa"/>
          </w:tcPr>
          <w:p>
            <w:pPr>
              <w:jc w:val="center"/>
            </w:pPr>
            <w:r>
              <w:rPr>
                <w:rFonts w:ascii="Calibri" w:hAnsi="Calibri"/>
                <w:sz w:val="20"/>
                <w:szCs w:val="20"/>
                <w:b/>
              </w:rPr>
              <w:t>______________________________</w:t>
            </w:r>
          </w:p>
          <w:p>
            <w:pPr>
              <w:jc w:val="center"/>
            </w:pPr>
            <w:r>
              <w:rPr>
                <w:rFonts w:ascii="Calibri" w:hAnsi="Calibri"/>
                <w:sz w:val="20"/>
                <w:szCs w:val="20"/>
              </w:rPr>
              <w:t/>
            </w:r>
          </w:p>
          <w:p>
            <w:pPr>
              <w:jc w:val="center"/>
            </w:pPr>
            <w:r>
              <w:rPr>
                <w:rFonts w:ascii="Calibri" w:hAnsi="Calibri"/>
                <w:sz w:val="20"/>
                <w:szCs w:val="20"/>
              </w:rPr>
              <w:t/>
            </w:r>
          </w:p>
        </w:tc>
      </w:tr>
    </w:tbl>
    <w:sectPr>
      <w:headerReference w:type="default" r:id="rId4"/>
      <w:pgSz w:w="11906" w:h="16838"/>
      <w:pgMar w:top="1440" w:right="720" w:bottom="720" w:left="720" w:header="360" w:footer="720" w:gutter="0"/>
      <w:cols w:space="720"/>
      <w:docGrid w:linePitch="360"/>
    </w:sectPr>
  </w:body>
</w:document>
</file>

<file path=word/fontTable.xml><?xml version="1.0" encoding="utf-8"?>
<w:fonts xmlns:w="http://schemas.openxmlformats.org/wordprocessingml/2006/main">
  <w:font w:name="Calibri"/>
  <w:font w:name="Cambria"/>
  <w:font w:name="Arial Narrow"/>
  <w:font w:name="Copperplate Gothic Bold"/>
  <w:font w:name="Brush Script MT"/>
  <w:font w:name="Old English Text MT"/>
</w:fonts>
</file>

<file path=word/header1.xml><?xml version="1.0" encoding="utf-8"?>
<w:hdr xmlns:r="http://schemas.openxmlformats.org/officeDocument/2006/relationships" xmlns:w="http://schemas.openxmlformats.org/wordprocessingml/2006/main" xmlns:wp="http://schemas.openxmlformats.org/drawingml/2006/wordprocessingDrawing" xmlns:a="http://schemas.openxmlformats.org/drawingml/2006/main" xmlns:pic="http://schemas.openxmlformats.org/drawingml/2006/picture">
  <w:tbl>
    <w:tblPr>
      <w:tblW w:w="10588" w:type="dxa"/>
      <w:tblBorders>
        <w:top w:val="nil"/>
        <w:left w:val="nil"/>
        <w:bottom w:val="nil"/>
        <w:right w:val="nil"/>
        <w:insideH w:val="nil"/>
        <w:insideV w:val="nil"/>
      </w:tblBorders>
    </w:tblPr>
    <w:tblGrid>
      <w:gridCol w:w="1600"/>
      <w:gridCol w:w="6500"/>
      <w:gridCol w:w="400"/>
      <w:gridCol w:w="2088"/>
    </w:tblGrid>
    <w:tr>
      <w:tc>
        <w:tcPr>
          <w:tcW w:w="1600" w:type="dxa"/>
          <w:vAlign w:val="center"/>
        </w:tcPr>
        <w:p>
          <w:pPr>
            <w:jc w:val="center"/>
          </w:pPr>
          <w:r>
            <w:drawing>
              <wp:inline distT="0" distB="0" distL="0" distR="0">
                <wp:extent cx="666750" cy="666750"/>
                <wp:docPr id="1" name="BSU Logo"/>
                <a:graphic>
                  <a:graphicData uri="http://schemas.openxmlformats.org/drawingml/2006/picture">
                    <pic:pic>
                      <pic:nvPicPr>
                        <pic:cNvPr id="0" name="bsu-logo.png"/>
                        <pic:cNvPicPr/>
                      </pic:nvPicPr>
                      <pic:blipFill>
                        <a:blip r:embed="rId1"/>
                        <a:stretch>
                          <a:fillRect/>
                        </a:stretch>
                      </pic:blipFill>
                      <pic:spPr>
                        <a:xfrm>
                          <a:off x="0" y="0"/>
                          <a:ext cx="666750" cy="666750"/>
                        </a:xfrm>
                        <a:prstGeom prst="rect">
                          <a:avLst/>
                        </a:prstGeom>
                      </pic:spPr>
                    </pic:pic>
                  </a:graphicData>
                </a:graphic>
              </wp:inline>
            </w:drawing>
          </w:r>
        </w:p>
      </w:tc>
      <w:tc>
        <w:tcPr>
          <w:tcW w:w="6500" w:type="dxa"/>
          <w:vAlign w:val="center"/>
        </w:tcPr>
        <w:p>
          <w:pPr>
            <w:jc w:val="center"/>
          </w:pPr>
          <w:r>
            <w:rPr>
              <w:rFonts w:ascii="Calibri" w:hAnsi="Calibri"/>
              <w:sz w:val="18"/>
              <w:szCs w:val="18"/>
            </w:rPr>
            <w:t>Republic of the Philippines</w:t>
          </w:r>
        </w:p>
        <w:p>
          <w:pPr>
            <w:jc w:val="center"/>
          </w:pPr>
          <w:r>
            <w:rPr>
              <w:rFonts w:ascii="Old English Text MT" w:hAnsi="Old English Text MT"/>
              <w:sz w:val="36"/>
              <w:szCs w:val="36"/>
            </w:rPr>
            <w:t>Benguet State University</w:t>
          </w:r>
        </w:p>
        <w:p>
          <w:pPr>
            <w:jc w:val="center"/>
          </w:pPr>
          <w:r>
            <w:rPr>
              <w:rFonts w:ascii="Calibri" w:hAnsi="Calibri"/>
              <w:sz w:val="18"/>
              <w:szCs w:val="18"/>
            </w:rPr>
            <w:t>La Trinidad, Benguet, 2601</w:t>
          </w:r>
        </w:p>
      </w:tc>
      <w:tc>
        <w:tcPr>
          <w:tcW w:w="400" w:type="dxa"/>
        </w:tcPr>
        <w:p/>
      </w:tc>
      <w:tc>
        <w:tcPr>
          <w:tcW w:w="2088" w:type="dxa"/>
          <w:vAlign w:val="center"/>
        </w:tcPr>
        <w:tbl>
          <w:tblPr>
            <w:tblW w:w="2048" w:type="dxa"/>
            <w:tblBorders>
              <w:top w:val="dotted" w:sz="4" w:color="000000"/>
              <w:left w:val="dotted" w:sz="4" w:color="000000"/>
              <w:bottom w:val="dotted" w:sz="4" w:color="000000"/>
              <w:right w:val="dotted" w:sz="4" w:color="000000"/>
            </w:tblBorders>
          </w:tblPr>
          <w:tr>
            <w:tc>
              <w:tcPr>
                <w:tcMar>
                  <w:top w:w="60" w:type="dxa"/>
                  <w:bottom w:w="60" w:type="dxa"/>
                  <w:left w:w="80" w:type="dxa"/>
                  <w:right w:w="80" w:type="dxa"/>
                </w:tcMar>
              </w:tcPr>
              <w:p>
                <w:pPr>
                  <w:jc w:val="center"/>
                </w:pPr>
                <w:r>
                  <w:rPr>
                    <w:rFonts w:ascii="Brush Script MT" w:hAnsi="Brush Script MT"/>
                    <w:sz w:val="18"/>
                    <w:szCs w:val="18"/>
                    <w:i/>
                  </w:rPr>
                  <w:t>AR-HRMO form 1.0</w:t>
                </w:r>
              </w:p>
            </w:tc>
          </w:tr>
        </w:tbl>
      </w:tc>
    </w:tr>
  </w:tbl>
</w:hdr>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0"/>
        <w:szCs w:val="20"/>
      </w:rPr>
    </w:rPrDefault>
  </w:docDefaults>
</w:styles>
</file>

<file path=word/webSettings.xml><?xml version="1.0" encoding="utf-8"?>
<w:web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header" Target="header1.xml"/></Relationships>
</file>

<file path=word/_rels/header1.xml.rels><?xml version="1.0" encoding="UTF-8" standalone="yes"?><Relationships xmlns="http://schemas.openxmlformats.org/package/2006/relationships"><Relationship Id="rId1" Type="http://schemas.openxmlformats.org/officeDocument/2006/relationships/image" Target="media/bsu-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accent1>
        <a:srgbClr val="4F81BD"/>
      </a:accent1>
    </a:clrScheme>
    <a:fontScheme name="Office">
      <a:majorFont>
        <a:latin typeface="Calibri"/>
      </a:majorFont>
      <a:minorFont>
        <a:latin typeface="Calibri"/>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Cole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Cole Report</dc:title>
  <dc:creator>Cole</dc:creator>
  <cp:lastModifiedBy>Cole</cp:lastModifiedBy>
  <dcterms:created xsi:type="dcterms:W3CDTF">2026-06-17T02:47:47Z</dcterms:created>
  <dcterms:modified xsi:type="dcterms:W3CDTF">2026-06-17T02:47:47Z</dcterms:modified>
</cp:coreProperties>
</file>