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Steps to work the Computer Vision Model: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up a local host server in the project folder using a power shell using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 -m http.server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your browser look up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https://localhost8000.com/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html link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the button to start the camera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the video feed an object and if it detects one of the specified images you will be able to click its link to see its nutritional facts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 step 5 as much as you like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the first listed “close” when finished with one object and are ready for the next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List of items that should work: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Apple, Banana, Sandwich, Orange, Broccoli, Carrot, Hot Dog, Pizza, Donut, Cake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ocalhost8000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