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3B" w:rsidRPr="003C444D" w:rsidRDefault="00253935" w:rsidP="00B6155E">
      <w:pPr>
        <w:pStyle w:val="Ttulo"/>
        <w:rPr>
          <w:rFonts w:ascii="Arial" w:hAnsi="Arial" w:cs="Arial"/>
        </w:rPr>
      </w:pPr>
      <w:r w:rsidRPr="003C444D">
        <w:rPr>
          <w:rFonts w:ascii="Arial" w:hAnsi="Arial" w:cs="Arial"/>
        </w:rPr>
        <w:t>¿Qué es el desarrollo tecnológico?</w:t>
      </w:r>
    </w:p>
    <w:p w:rsidR="00253935" w:rsidRPr="003C444D" w:rsidRDefault="00253935" w:rsidP="00B6155E">
      <w:pPr>
        <w:pStyle w:val="Ttulo"/>
        <w:rPr>
          <w:rFonts w:ascii="Arial" w:hAnsi="Arial" w:cs="Arial"/>
        </w:rPr>
      </w:pPr>
      <w:r w:rsidRPr="003C444D">
        <w:rPr>
          <w:rFonts w:ascii="Arial" w:hAnsi="Arial" w:cs="Arial"/>
        </w:rPr>
        <w:t>¿Para que sirve el desarrollo tecnológico?</w:t>
      </w:r>
    </w:p>
    <w:p w:rsidR="00253935" w:rsidRPr="003C444D" w:rsidRDefault="00253935" w:rsidP="00B6155E">
      <w:pPr>
        <w:pStyle w:val="Ttulo"/>
        <w:rPr>
          <w:rFonts w:ascii="Arial" w:hAnsi="Arial" w:cs="Arial"/>
        </w:rPr>
      </w:pPr>
      <w:r w:rsidRPr="003C444D">
        <w:rPr>
          <w:rFonts w:ascii="Arial" w:hAnsi="Arial" w:cs="Arial"/>
        </w:rPr>
        <w:t>¿Cómo es el desarrollo tecnológico en México?</w:t>
      </w:r>
    </w:p>
    <w:p w:rsidR="00253935" w:rsidRPr="003C444D" w:rsidRDefault="00253935" w:rsidP="00B6155E">
      <w:pPr>
        <w:pStyle w:val="Ttulo"/>
        <w:rPr>
          <w:rFonts w:ascii="Arial" w:hAnsi="Arial" w:cs="Arial"/>
        </w:rPr>
      </w:pPr>
      <w:r w:rsidRPr="003C444D">
        <w:rPr>
          <w:rFonts w:ascii="Arial" w:hAnsi="Arial" w:cs="Arial"/>
        </w:rPr>
        <w:t>¿Quién participa en el desarrollo tecnológico?</w:t>
      </w:r>
    </w:p>
    <w:p w:rsidR="00253935" w:rsidRPr="003C444D" w:rsidRDefault="00253935" w:rsidP="00B6155E">
      <w:pPr>
        <w:pStyle w:val="Ttulo"/>
        <w:rPr>
          <w:rFonts w:ascii="Arial" w:hAnsi="Arial" w:cs="Arial"/>
        </w:rPr>
      </w:pPr>
      <w:r w:rsidRPr="003C444D">
        <w:rPr>
          <w:rFonts w:ascii="Arial" w:hAnsi="Arial" w:cs="Arial"/>
        </w:rPr>
        <w:t>¿En que está innovando México?</w:t>
      </w:r>
    </w:p>
    <w:p w:rsidR="00B6155E" w:rsidRDefault="00B6155E" w:rsidP="00B6155E">
      <w:pPr>
        <w:pStyle w:val="Ttulo"/>
        <w:rPr>
          <w:rFonts w:ascii="Arial" w:hAnsi="Arial" w:cs="Arial"/>
        </w:rPr>
      </w:pPr>
      <w:r w:rsidRPr="003C444D">
        <w:rPr>
          <w:rFonts w:ascii="Arial" w:hAnsi="Arial" w:cs="Arial"/>
        </w:rPr>
        <w:t>¿Qué es la CONACYT?</w:t>
      </w:r>
    </w:p>
    <w:p w:rsidR="003C444D" w:rsidRDefault="003C444D" w:rsidP="003C444D">
      <w:pPr>
        <w:rPr>
          <w:b/>
          <w:bCs/>
        </w:rPr>
      </w:pPr>
      <w:r w:rsidRPr="003C444D">
        <w:rPr>
          <w:b/>
          <w:bCs/>
        </w:rPr>
        <w:t xml:space="preserve">En el </w:t>
      </w:r>
      <w:proofErr w:type="spellStart"/>
      <w:r w:rsidRPr="003C444D">
        <w:rPr>
          <w:b/>
          <w:bCs/>
        </w:rPr>
        <w:t>Conacyt</w:t>
      </w:r>
      <w:proofErr w:type="spellEnd"/>
      <w:r w:rsidRPr="003C444D">
        <w:rPr>
          <w:b/>
          <w:bCs/>
        </w:rPr>
        <w:t xml:space="preserve"> nuestra visión es impulsar y fortalecer el desarrollo científico y la modernización tecnológica de México</w:t>
      </w:r>
    </w:p>
    <w:p w:rsidR="00FF50AA" w:rsidRPr="003C444D" w:rsidRDefault="00FF50AA" w:rsidP="003C444D">
      <w:pPr>
        <w:rPr>
          <w:b/>
          <w:bCs/>
        </w:rPr>
      </w:pPr>
      <w:r w:rsidRPr="00FF50AA">
        <w:rPr>
          <w:b/>
          <w:bCs/>
        </w:rPr>
        <w:t>Sistema de Centros de Investigación</w:t>
      </w:r>
    </w:p>
    <w:p w:rsidR="00FF50AA" w:rsidRPr="00FF50AA" w:rsidRDefault="00FF50AA" w:rsidP="00FF5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50A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Sistema de Centros Públicos de Investigación del </w:t>
      </w:r>
      <w:proofErr w:type="spellStart"/>
      <w:r w:rsidRPr="00FF50AA">
        <w:rPr>
          <w:rFonts w:ascii="Times New Roman" w:eastAsia="Times New Roman" w:hAnsi="Times New Roman" w:cs="Times New Roman"/>
          <w:sz w:val="24"/>
          <w:szCs w:val="24"/>
          <w:lang w:eastAsia="es-MX"/>
        </w:rPr>
        <w:t>Conacyt</w:t>
      </w:r>
      <w:proofErr w:type="spellEnd"/>
      <w:r w:rsidRPr="00FF50A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está conformado por 27 instituciones, coordinadas sectorialmente por la DACI de las cuales 26 son centros de investigación que comparten cuatro ejes fundamentales en su quehacer:</w:t>
      </w:r>
    </w:p>
    <w:p w:rsidR="00FF50AA" w:rsidRPr="00FF50AA" w:rsidRDefault="00FF50AA" w:rsidP="00FF50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50AA">
        <w:rPr>
          <w:rFonts w:ascii="Times New Roman" w:eastAsia="Times New Roman" w:hAnsi="Times New Roman" w:cs="Times New Roman"/>
          <w:sz w:val="24"/>
          <w:szCs w:val="24"/>
          <w:lang w:eastAsia="es-MX"/>
        </w:rPr>
        <w:t>Realizar actividades de investigación</w:t>
      </w:r>
    </w:p>
    <w:p w:rsidR="00FF50AA" w:rsidRPr="00FF50AA" w:rsidRDefault="00FF50AA" w:rsidP="00FF50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50AA">
        <w:rPr>
          <w:rFonts w:ascii="Times New Roman" w:eastAsia="Times New Roman" w:hAnsi="Times New Roman" w:cs="Times New Roman"/>
          <w:sz w:val="24"/>
          <w:szCs w:val="24"/>
          <w:lang w:eastAsia="es-MX"/>
        </w:rPr>
        <w:t>Formar recursos humanos altamente especializados, principalmente a través de programas de posgrado</w:t>
      </w:r>
    </w:p>
    <w:p w:rsidR="00FF50AA" w:rsidRPr="00FF50AA" w:rsidRDefault="00FF50AA" w:rsidP="00FF50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50AA">
        <w:rPr>
          <w:rFonts w:ascii="Times New Roman" w:eastAsia="Times New Roman" w:hAnsi="Times New Roman" w:cs="Times New Roman"/>
          <w:sz w:val="24"/>
          <w:szCs w:val="24"/>
          <w:lang w:eastAsia="es-MX"/>
        </w:rPr>
        <w:t>Transferir conocimiento para promover la modernización y mejora de sectores productivos, públicos y sociales</w:t>
      </w:r>
    </w:p>
    <w:p w:rsidR="00FF50AA" w:rsidRPr="00FF50AA" w:rsidRDefault="00FF50AA" w:rsidP="00FF50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50AA">
        <w:rPr>
          <w:rFonts w:ascii="Times New Roman" w:eastAsia="Times New Roman" w:hAnsi="Times New Roman" w:cs="Times New Roman"/>
          <w:sz w:val="24"/>
          <w:szCs w:val="24"/>
          <w:lang w:eastAsia="es-MX"/>
        </w:rPr>
        <w:t>Comunicar a la sociedad la información técnica y científica derivada de las investigaciones.</w:t>
      </w:r>
    </w:p>
    <w:p w:rsidR="00FF50AA" w:rsidRPr="00FF50AA" w:rsidRDefault="00FF50AA" w:rsidP="00FF5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50A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Por otro lado, se encuentra también el Fondo para el Desarrollo de Recursos Humanos (FIDERH), que es un fideicomiso federal administrado por el Banco de México y sectorizado en </w:t>
      </w:r>
      <w:proofErr w:type="spellStart"/>
      <w:r w:rsidRPr="00FF50AA">
        <w:rPr>
          <w:rFonts w:ascii="Times New Roman" w:eastAsia="Times New Roman" w:hAnsi="Times New Roman" w:cs="Times New Roman"/>
          <w:sz w:val="24"/>
          <w:szCs w:val="24"/>
          <w:lang w:eastAsia="es-MX"/>
        </w:rPr>
        <w:t>Conacyt</w:t>
      </w:r>
      <w:proofErr w:type="spellEnd"/>
      <w:r w:rsidRPr="00FF50AA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FF50AA" w:rsidRPr="00FF50AA" w:rsidRDefault="00FF50AA" w:rsidP="00FF5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50A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Los centros son entidades paraestatales y poseen distintas naturalezas, tamaños, ubicaciones y especialidades temáticas. </w:t>
      </w:r>
      <w:proofErr w:type="gramStart"/>
      <w:r w:rsidRPr="00FF50AA">
        <w:rPr>
          <w:rFonts w:ascii="Times New Roman" w:eastAsia="Times New Roman" w:hAnsi="Times New Roman" w:cs="Times New Roman"/>
          <w:sz w:val="24"/>
          <w:szCs w:val="24"/>
          <w:lang w:eastAsia="es-MX"/>
        </w:rPr>
        <w:t>Esta diversidad le reditúan</w:t>
      </w:r>
      <w:proofErr w:type="gramEnd"/>
      <w:r w:rsidRPr="00FF50A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sistema en un abanico amplio de posibilidades para la colaboración entre disciplinas y regiones.</w:t>
      </w:r>
    </w:p>
    <w:p w:rsidR="00FF50AA" w:rsidRPr="00FF50AA" w:rsidRDefault="00FF50AA" w:rsidP="00FF5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50AA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El Sistema de Centros busca contribuir de manera significativa a que México aumente sus niveles de productividad y competitividad y que se consolide como una herramienta del Estado para resolver problemas nacionales y promover su desarrollo económico, a través de sus aportaciones en materia de ciencia, tecnología e innovación.</w:t>
      </w:r>
    </w:p>
    <w:p w:rsidR="00FF50AA" w:rsidRPr="00FF50AA" w:rsidRDefault="00FF50AA" w:rsidP="00FF50AA">
      <w:pPr>
        <w:rPr>
          <w:rFonts w:ascii="Arial" w:hAnsi="Arial" w:cs="Arial"/>
          <w:b/>
          <w:bCs/>
        </w:rPr>
      </w:pPr>
      <w:r w:rsidRPr="00FF50AA">
        <w:rPr>
          <w:rFonts w:ascii="Arial" w:hAnsi="Arial" w:cs="Arial"/>
          <w:b/>
          <w:bCs/>
        </w:rPr>
        <w:t>Objetivos</w:t>
      </w:r>
    </w:p>
    <w:p w:rsidR="00FF50AA" w:rsidRPr="00FF50AA" w:rsidRDefault="00FF50AA" w:rsidP="00FF50A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F50AA">
        <w:rPr>
          <w:rFonts w:ascii="Arial" w:hAnsi="Arial" w:cs="Arial"/>
        </w:rPr>
        <w:t>Generar conocimiento científico y promover su aplicación a la solución de problemas nacionales.</w:t>
      </w:r>
    </w:p>
    <w:p w:rsidR="00FF50AA" w:rsidRPr="00FF50AA" w:rsidRDefault="00FF50AA" w:rsidP="00FF50A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F50AA">
        <w:rPr>
          <w:rFonts w:ascii="Arial" w:hAnsi="Arial" w:cs="Arial"/>
        </w:rPr>
        <w:t>Formar recursos humanos de alta especialización, sobre todo a nivel de posgrado.</w:t>
      </w:r>
    </w:p>
    <w:p w:rsidR="00FF50AA" w:rsidRPr="00FF50AA" w:rsidRDefault="00FF50AA" w:rsidP="00FF50A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F50AA">
        <w:rPr>
          <w:rFonts w:ascii="Arial" w:hAnsi="Arial" w:cs="Arial"/>
        </w:rPr>
        <w:t>Fomentar la vinculación entre la academia y los sectores público, privado y social.</w:t>
      </w:r>
    </w:p>
    <w:p w:rsidR="00FF50AA" w:rsidRPr="00FF50AA" w:rsidRDefault="00FF50AA" w:rsidP="00FF50A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F50AA">
        <w:rPr>
          <w:rFonts w:ascii="Arial" w:hAnsi="Arial" w:cs="Arial"/>
        </w:rPr>
        <w:t>Promover la innovación científica, tecnológica y social para que el país avance en su integración a la economía del conocimiento.</w:t>
      </w:r>
    </w:p>
    <w:p w:rsidR="00FF50AA" w:rsidRPr="00FF50AA" w:rsidRDefault="00FF50AA" w:rsidP="00FF50A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F50AA">
        <w:rPr>
          <w:rFonts w:ascii="Arial" w:hAnsi="Arial" w:cs="Arial"/>
        </w:rPr>
        <w:t>Promover la difusión y la divulgación de la ciencia y la tecnología en las áreas de competencia de cada uno de los Centros que integran el Sistema.</w:t>
      </w:r>
    </w:p>
    <w:p w:rsidR="00FF50AA" w:rsidRPr="00FF50AA" w:rsidRDefault="00FF50AA" w:rsidP="00FF50A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F50AA">
        <w:rPr>
          <w:rFonts w:ascii="Arial" w:hAnsi="Arial" w:cs="Arial"/>
        </w:rPr>
        <w:t>Fomentar y promover la cultura científica, humanística y tecnológica de la sociedad mexicana.</w:t>
      </w:r>
    </w:p>
    <w:p w:rsidR="00FF50AA" w:rsidRDefault="00FF50AA" w:rsidP="00FF50AA">
      <w:pPr>
        <w:pStyle w:val="Ttulo"/>
        <w:rPr>
          <w:rFonts w:eastAsia="Times New Roman"/>
          <w:lang w:eastAsia="es-MX"/>
        </w:rPr>
      </w:pPr>
      <w:r w:rsidRPr="00FF50AA">
        <w:rPr>
          <w:rFonts w:eastAsia="Times New Roman"/>
          <w:lang w:eastAsia="es-MX"/>
        </w:rPr>
        <w:t>La CIBIOGEM establece las políticas y los mecanismos</w:t>
      </w:r>
      <w:r w:rsidRPr="00FF50AA">
        <w:rPr>
          <w:rFonts w:eastAsia="Times New Roman"/>
          <w:lang w:eastAsia="es-MX"/>
        </w:rPr>
        <w:br/>
        <w:t xml:space="preserve">para el uso seguro de los </w:t>
      </w:r>
      <w:proofErr w:type="spellStart"/>
      <w:r w:rsidRPr="00FF50AA">
        <w:rPr>
          <w:rFonts w:eastAsia="Times New Roman"/>
          <w:lang w:eastAsia="es-MX"/>
        </w:rPr>
        <w:t>OGMs</w:t>
      </w:r>
      <w:proofErr w:type="spellEnd"/>
    </w:p>
    <w:p w:rsidR="00FF50AA" w:rsidRDefault="00FF50AA" w:rsidP="00FF50AA">
      <w:pPr>
        <w:rPr>
          <w:lang w:eastAsia="es-MX"/>
        </w:rPr>
      </w:pPr>
    </w:p>
    <w:p w:rsidR="00FF50AA" w:rsidRPr="00FF50AA" w:rsidRDefault="00FF50AA" w:rsidP="00FF50AA">
      <w:pPr>
        <w:rPr>
          <w:rFonts w:ascii="Arial" w:hAnsi="Arial" w:cs="Arial"/>
          <w:lang w:eastAsia="es-MX"/>
        </w:rPr>
      </w:pPr>
      <w:r w:rsidRPr="00FF50AA">
        <w:rPr>
          <w:rFonts w:ascii="Arial" w:hAnsi="Arial" w:cs="Arial"/>
          <w:lang w:eastAsia="es-MX"/>
        </w:rPr>
        <w:t xml:space="preserve">En atención al artículo 31 de la Ley de Bioseguridad de Organismos Genéticamente Modificados (LBOGM), el </w:t>
      </w:r>
      <w:proofErr w:type="spellStart"/>
      <w:r w:rsidRPr="00FF50AA">
        <w:rPr>
          <w:rFonts w:ascii="Arial" w:hAnsi="Arial" w:cs="Arial"/>
          <w:lang w:eastAsia="es-MX"/>
        </w:rPr>
        <w:t>CONACyT</w:t>
      </w:r>
      <w:proofErr w:type="spellEnd"/>
      <w:r w:rsidRPr="00FF50AA">
        <w:rPr>
          <w:rFonts w:ascii="Arial" w:hAnsi="Arial" w:cs="Arial"/>
          <w:lang w:eastAsia="es-MX"/>
        </w:rPr>
        <w:t xml:space="preserve"> constituyó el Fondo para el Fomento y Apoyo a la Investigación Científica y Tecnológica en Bioseguridad y Biotecnología (Fondo CIBIOGEM). El objeto de este Fideicomiso es dar atención al artículo 28 de la LBOGM, que establece el fomento, apoyo y fortalecimiento a la investigación científica y tecnológica en materia de bioseguridad y de biotecnología.</w:t>
      </w:r>
    </w:p>
    <w:p w:rsidR="00FF50AA" w:rsidRPr="00FF50AA" w:rsidRDefault="00FF50AA" w:rsidP="00FF50AA">
      <w:pPr>
        <w:rPr>
          <w:rFonts w:ascii="Arial" w:hAnsi="Arial" w:cs="Arial"/>
          <w:lang w:eastAsia="es-MX"/>
        </w:rPr>
      </w:pPr>
      <w:r w:rsidRPr="00FF50AA">
        <w:rPr>
          <w:rFonts w:ascii="Arial" w:hAnsi="Arial" w:cs="Arial"/>
          <w:lang w:eastAsia="es-MX"/>
        </w:rPr>
        <w:t>Con lo que se busca impulsar proyectos de investigación y desarrollo e innovación, formación de recursos humanos especializados y fortalecimiento de grupos e infraestructura para resolver necesidades productivas específicas del país que beneficien directamente a los productores nacionales, así como para la evaluación y monitoreo de riesgos.</w:t>
      </w:r>
      <w:bookmarkStart w:id="0" w:name="_GoBack"/>
      <w:bookmarkEnd w:id="0"/>
    </w:p>
    <w:p w:rsidR="003C444D" w:rsidRPr="00FF50AA" w:rsidRDefault="003C444D" w:rsidP="003C444D">
      <w:pPr>
        <w:rPr>
          <w:rFonts w:ascii="Arial" w:hAnsi="Arial" w:cs="Arial"/>
        </w:rPr>
      </w:pPr>
    </w:p>
    <w:p w:rsidR="00B6155E" w:rsidRPr="003C444D" w:rsidRDefault="00B6155E" w:rsidP="00B6155E">
      <w:pPr>
        <w:rPr>
          <w:rFonts w:ascii="Arial" w:hAnsi="Arial" w:cs="Arial"/>
        </w:rPr>
      </w:pPr>
    </w:p>
    <w:p w:rsidR="00253935" w:rsidRPr="003C444D" w:rsidRDefault="00253935" w:rsidP="00B6155E">
      <w:pPr>
        <w:pStyle w:val="Ttulo"/>
        <w:rPr>
          <w:rFonts w:ascii="Arial" w:hAnsi="Arial" w:cs="Arial"/>
        </w:rPr>
      </w:pPr>
      <w:r w:rsidRPr="003C444D">
        <w:rPr>
          <w:rFonts w:ascii="Arial" w:hAnsi="Arial" w:cs="Arial"/>
        </w:rPr>
        <w:lastRenderedPageBreak/>
        <w:t>¿Que instituciones promueven el desarrollo tecnológico?</w:t>
      </w:r>
    </w:p>
    <w:p w:rsidR="00253935" w:rsidRPr="003C444D" w:rsidRDefault="00253935" w:rsidP="0025393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444D">
        <w:rPr>
          <w:rFonts w:ascii="Arial" w:hAnsi="Arial" w:cs="Arial"/>
        </w:rPr>
        <w:t>CONACYT (Consejo Nacional de Ciencia y Tecnología)</w:t>
      </w:r>
    </w:p>
    <w:p w:rsidR="00253935" w:rsidRPr="003C444D" w:rsidRDefault="00253935" w:rsidP="0025393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444D">
        <w:rPr>
          <w:rFonts w:ascii="Arial" w:hAnsi="Arial" w:cs="Arial"/>
        </w:rPr>
        <w:t>SEMAR (</w:t>
      </w:r>
      <w:r w:rsidR="00B6155E" w:rsidRPr="003C444D">
        <w:rPr>
          <w:rFonts w:ascii="Arial" w:hAnsi="Arial" w:cs="Arial"/>
        </w:rPr>
        <w:t>secretaria de Marina</w:t>
      </w:r>
      <w:r w:rsidRPr="003C444D">
        <w:rPr>
          <w:rFonts w:ascii="Arial" w:hAnsi="Arial" w:cs="Arial"/>
        </w:rPr>
        <w:t>)</w:t>
      </w:r>
    </w:p>
    <w:p w:rsidR="00B6155E" w:rsidRPr="003C444D" w:rsidRDefault="00B6155E" w:rsidP="0025393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444D">
        <w:rPr>
          <w:rFonts w:ascii="Arial" w:hAnsi="Arial" w:cs="Arial"/>
        </w:rPr>
        <w:t>SENER (Secretaría de Energía)</w:t>
      </w:r>
    </w:p>
    <w:p w:rsidR="00B6155E" w:rsidRPr="003C444D" w:rsidRDefault="00B6155E" w:rsidP="00B6155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444D">
        <w:rPr>
          <w:rFonts w:ascii="Arial" w:hAnsi="Arial" w:cs="Arial"/>
        </w:rPr>
        <w:t>SAGARPA (Secretaría de Agricultura, Ganadería, Desarrollo Rural, Pesca y Alimentación)</w:t>
      </w:r>
    </w:p>
    <w:p w:rsidR="00B6155E" w:rsidRPr="003C444D" w:rsidRDefault="00B6155E" w:rsidP="00B6155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444D">
        <w:rPr>
          <w:rFonts w:ascii="Arial" w:hAnsi="Arial" w:cs="Arial"/>
        </w:rPr>
        <w:t>SECTUR (Secretaría de Turismo)</w:t>
      </w:r>
    </w:p>
    <w:p w:rsidR="00B6155E" w:rsidRPr="003C444D" w:rsidRDefault="00B6155E" w:rsidP="00B6155E">
      <w:pPr>
        <w:pStyle w:val="Ttulo"/>
        <w:rPr>
          <w:rFonts w:ascii="Arial" w:hAnsi="Arial" w:cs="Arial"/>
        </w:rPr>
      </w:pPr>
      <w:r w:rsidRPr="003C444D">
        <w:rPr>
          <w:rFonts w:ascii="Arial" w:hAnsi="Arial" w:cs="Arial"/>
        </w:rPr>
        <w:t>Programas para el desarrollo tecnológico</w:t>
      </w:r>
    </w:p>
    <w:p w:rsidR="00B6155E" w:rsidRPr="003C444D" w:rsidRDefault="00B6155E" w:rsidP="00B6155E">
      <w:pPr>
        <w:rPr>
          <w:rFonts w:ascii="Arial" w:hAnsi="Arial" w:cs="Arial"/>
          <w:b/>
        </w:rPr>
      </w:pPr>
      <w:r w:rsidRPr="003C444D">
        <w:rPr>
          <w:rFonts w:ascii="Arial" w:hAnsi="Arial" w:cs="Arial"/>
          <w:b/>
        </w:rPr>
        <w:t>Programa de Apoyos para Actividades Científicas Tecnológicas y de Innovación</w:t>
      </w:r>
    </w:p>
    <w:p w:rsidR="00B6155E" w:rsidRPr="003C444D" w:rsidRDefault="00B6155E" w:rsidP="00B6155E">
      <w:pPr>
        <w:rPr>
          <w:rFonts w:ascii="Arial" w:hAnsi="Arial" w:cs="Arial"/>
        </w:rPr>
      </w:pPr>
      <w:r w:rsidRPr="003C444D">
        <w:rPr>
          <w:rFonts w:ascii="Arial" w:hAnsi="Arial" w:cs="Arial"/>
        </w:rPr>
        <w:t>Es un programa presupuestario del CONACYT cuyo objetivo es, apoyar, incentivar y potenciar Proyectos en investigación, desarrollo, comunicación pública de la ciencia y vinculación, orientados a incrementar y mejorar el acervo de las capacidades y habilidades científicas y tecnológicas, que fortalezcan el Sistema Nacional de Ciencia, Tecnología e Innovación.</w:t>
      </w:r>
    </w:p>
    <w:p w:rsidR="00B6155E" w:rsidRPr="003C444D" w:rsidRDefault="00B6155E" w:rsidP="00B6155E">
      <w:pPr>
        <w:rPr>
          <w:rFonts w:ascii="Arial" w:hAnsi="Arial" w:cs="Arial"/>
          <w:b/>
        </w:rPr>
      </w:pPr>
      <w:r w:rsidRPr="003C444D">
        <w:rPr>
          <w:rFonts w:ascii="Arial" w:hAnsi="Arial" w:cs="Arial"/>
          <w:b/>
          <w:bCs/>
        </w:rPr>
        <w:t>¿Cuál es el objetivo?</w:t>
      </w:r>
    </w:p>
    <w:p w:rsidR="00B6155E" w:rsidRPr="003C444D" w:rsidRDefault="00B6155E" w:rsidP="00B6155E">
      <w:pPr>
        <w:rPr>
          <w:rFonts w:ascii="Arial" w:hAnsi="Arial" w:cs="Arial"/>
          <w:b/>
        </w:rPr>
      </w:pPr>
      <w:r w:rsidRPr="003C444D">
        <w:rPr>
          <w:rFonts w:ascii="Arial" w:hAnsi="Arial" w:cs="Arial"/>
          <w:b/>
        </w:rPr>
        <w:t>Como objetivos específicos el Programa tiene los siguientes:</w:t>
      </w:r>
    </w:p>
    <w:p w:rsidR="00B6155E" w:rsidRPr="003C444D" w:rsidRDefault="00B6155E" w:rsidP="00B6155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444D">
        <w:rPr>
          <w:rFonts w:ascii="Arial" w:hAnsi="Arial" w:cs="Arial"/>
        </w:rPr>
        <w:t>Favorecer las actividades directamente vinculadas al desarrollo de acciones científicas, tecnológicas y de innovación.</w:t>
      </w:r>
    </w:p>
    <w:p w:rsidR="00B6155E" w:rsidRPr="003C444D" w:rsidRDefault="00B6155E" w:rsidP="00B6155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444D">
        <w:rPr>
          <w:rFonts w:ascii="Arial" w:hAnsi="Arial" w:cs="Arial"/>
        </w:rPr>
        <w:t>Financiar Proyectos de investigación científica, básica o aplicada, destinada a incrementar el acervo del conocimiento nacional.</w:t>
      </w:r>
    </w:p>
    <w:p w:rsidR="00B6155E" w:rsidRPr="003C444D" w:rsidRDefault="00B6155E" w:rsidP="00B6155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444D">
        <w:rPr>
          <w:rFonts w:ascii="Arial" w:hAnsi="Arial" w:cs="Arial"/>
        </w:rPr>
        <w:t>Incentivar las actividades productivas tecnológicas o de innovación que resulten en nuevos productos, procesos o servicios.</w:t>
      </w:r>
    </w:p>
    <w:p w:rsidR="00B6155E" w:rsidRPr="003C444D" w:rsidRDefault="00B6155E" w:rsidP="00B6155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444D">
        <w:rPr>
          <w:rFonts w:ascii="Arial" w:hAnsi="Arial" w:cs="Arial"/>
        </w:rPr>
        <w:t>Fortalecer, consolidar y renovar la infraestructura para el desarrollo de actividades científicas, tecnológicas y de innovación.</w:t>
      </w:r>
    </w:p>
    <w:p w:rsidR="00B6155E" w:rsidRPr="003C444D" w:rsidRDefault="00B6155E" w:rsidP="00B6155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444D">
        <w:rPr>
          <w:rFonts w:ascii="Arial" w:hAnsi="Arial" w:cs="Arial"/>
        </w:rPr>
        <w:t>Contribuir a la atención de los temas nacionales mencionados en el PECITI.</w:t>
      </w:r>
    </w:p>
    <w:p w:rsidR="00B6155E" w:rsidRPr="003C444D" w:rsidRDefault="00B6155E" w:rsidP="00B6155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444D">
        <w:rPr>
          <w:rFonts w:ascii="Arial" w:hAnsi="Arial" w:cs="Arial"/>
        </w:rPr>
        <w:t>Coadyuvar y fomentar la cooperación internacional en ciencia, tecnología e innovación.</w:t>
      </w:r>
    </w:p>
    <w:p w:rsidR="00B6155E" w:rsidRPr="003C444D" w:rsidRDefault="00B6155E" w:rsidP="00B6155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444D">
        <w:rPr>
          <w:rFonts w:ascii="Arial" w:hAnsi="Arial" w:cs="Arial"/>
        </w:rPr>
        <w:t>Potenciar y fortalecer la colaboración científica a través de Redes Temáticas de Investigación.</w:t>
      </w:r>
    </w:p>
    <w:p w:rsidR="00B6155E" w:rsidRPr="003C444D" w:rsidRDefault="00B6155E" w:rsidP="00B6155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444D">
        <w:rPr>
          <w:rFonts w:ascii="Arial" w:hAnsi="Arial" w:cs="Arial"/>
        </w:rPr>
        <w:t>Fomentar la formación e inclusión de recursos humanos especializados para el desarrollo de actividades científicas, tecnológicas y de innovación, en sectores estratégicos.</w:t>
      </w:r>
    </w:p>
    <w:p w:rsidR="00B6155E" w:rsidRPr="003C444D" w:rsidRDefault="00B6155E" w:rsidP="00B6155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444D">
        <w:rPr>
          <w:rFonts w:ascii="Arial" w:hAnsi="Arial" w:cs="Arial"/>
        </w:rPr>
        <w:t>Apoyar la comunicación pública de la ciencia, la tecnología y la innovación.</w:t>
      </w:r>
    </w:p>
    <w:p w:rsidR="00B6155E" w:rsidRPr="003C444D" w:rsidRDefault="00B6155E" w:rsidP="00B6155E">
      <w:pPr>
        <w:pStyle w:val="NormalWeb"/>
        <w:jc w:val="both"/>
        <w:rPr>
          <w:rFonts w:ascii="Arial" w:hAnsi="Arial" w:cs="Arial"/>
        </w:rPr>
      </w:pPr>
      <w:r w:rsidRPr="003C444D">
        <w:rPr>
          <w:rFonts w:ascii="Arial" w:hAnsi="Arial" w:cs="Arial"/>
          <w:b/>
          <w:bCs/>
        </w:rPr>
        <w:t>¿Cuáles son las modalidades de apoyo?</w:t>
      </w:r>
    </w:p>
    <w:p w:rsidR="00B6155E" w:rsidRPr="003C444D" w:rsidRDefault="00B6155E" w:rsidP="003C444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</w:rPr>
      </w:pPr>
      <w:r w:rsidRPr="003C444D">
        <w:rPr>
          <w:rFonts w:ascii="Arial" w:hAnsi="Arial" w:cs="Arial"/>
        </w:rPr>
        <w:lastRenderedPageBreak/>
        <w:t>Aportaciones a fideicomisos de ciencia y tecnología conforme lo señalado en los artículos 23 fracciones I, II y III, y 26 de la LCT;</w:t>
      </w:r>
    </w:p>
    <w:p w:rsidR="00B6155E" w:rsidRPr="003C444D" w:rsidRDefault="00B6155E" w:rsidP="003C444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</w:rPr>
      </w:pPr>
      <w:r w:rsidRPr="003C444D">
        <w:rPr>
          <w:rFonts w:ascii="Arial" w:hAnsi="Arial" w:cs="Arial"/>
        </w:rPr>
        <w:t>Apoyo a organizaciones académicas, científicas, tecnológicas y de innovación para el desarrollo de sus actividades sustantivas y en su caso complementarias, que contribuyan directamente al crecimiento y fortalecimiento del sector de la ciencia, la tecnología y la innovación</w:t>
      </w:r>
    </w:p>
    <w:p w:rsidR="00B6155E" w:rsidRPr="003C444D" w:rsidRDefault="00B6155E" w:rsidP="003C444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</w:rPr>
      </w:pPr>
      <w:r w:rsidRPr="003C444D">
        <w:rPr>
          <w:rFonts w:ascii="Arial" w:hAnsi="Arial" w:cs="Arial"/>
        </w:rPr>
        <w:t>Comunicación pública de la CTI y difusión;</w:t>
      </w:r>
    </w:p>
    <w:p w:rsidR="00B6155E" w:rsidRPr="003C444D" w:rsidRDefault="00B6155E" w:rsidP="003C444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</w:rPr>
      </w:pPr>
      <w:r w:rsidRPr="003C444D">
        <w:rPr>
          <w:rFonts w:ascii="Arial" w:hAnsi="Arial" w:cs="Arial"/>
        </w:rPr>
        <w:t>Congresos, convenciones, seminarios, simposios, exposiciones, talleres y demás eventos relacionados con el fortalecimiento del sector de CTI;</w:t>
      </w:r>
    </w:p>
    <w:p w:rsidR="00B6155E" w:rsidRPr="003C444D" w:rsidRDefault="00B6155E" w:rsidP="003C444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</w:rPr>
      </w:pPr>
      <w:r w:rsidRPr="003C444D">
        <w:rPr>
          <w:rFonts w:ascii="Arial" w:hAnsi="Arial" w:cs="Arial"/>
        </w:rPr>
        <w:t>Consorcios y Redes de CTI;</w:t>
      </w:r>
    </w:p>
    <w:p w:rsidR="00B6155E" w:rsidRPr="003C444D" w:rsidRDefault="00B6155E" w:rsidP="003C444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</w:rPr>
      </w:pPr>
      <w:r w:rsidRPr="003C444D">
        <w:rPr>
          <w:rFonts w:ascii="Arial" w:hAnsi="Arial" w:cs="Arial"/>
        </w:rPr>
        <w:t>Cuotas o membresías a organismos internacionales</w:t>
      </w:r>
    </w:p>
    <w:p w:rsidR="00B6155E" w:rsidRPr="003C444D" w:rsidRDefault="00B6155E" w:rsidP="003C444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</w:rPr>
      </w:pPr>
      <w:r w:rsidRPr="003C444D">
        <w:rPr>
          <w:rFonts w:ascii="Arial" w:hAnsi="Arial" w:cs="Arial"/>
        </w:rPr>
        <w:t>Encuestas, estudios y evaluaciones,</w:t>
      </w:r>
    </w:p>
    <w:p w:rsidR="00B6155E" w:rsidRPr="003C444D" w:rsidRDefault="00B6155E" w:rsidP="003C444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</w:rPr>
      </w:pPr>
      <w:r w:rsidRPr="003C444D">
        <w:rPr>
          <w:rFonts w:ascii="Arial" w:hAnsi="Arial" w:cs="Arial"/>
        </w:rPr>
        <w:t>Formación y movilidad de recursos humanos de alto nivel en sus diferentes etapas y modalidades;</w:t>
      </w:r>
    </w:p>
    <w:p w:rsidR="00B6155E" w:rsidRPr="003C444D" w:rsidRDefault="00B6155E" w:rsidP="003C444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</w:rPr>
      </w:pPr>
      <w:r w:rsidRPr="003C444D">
        <w:rPr>
          <w:rFonts w:ascii="Arial" w:hAnsi="Arial" w:cs="Arial"/>
        </w:rPr>
        <w:t>Habilidades y capacidades de vinculadores;</w:t>
      </w:r>
    </w:p>
    <w:p w:rsidR="00B6155E" w:rsidRPr="003C444D" w:rsidRDefault="00B6155E" w:rsidP="003C444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</w:rPr>
      </w:pPr>
      <w:r w:rsidRPr="003C444D">
        <w:rPr>
          <w:rFonts w:ascii="Arial" w:hAnsi="Arial" w:cs="Arial"/>
        </w:rPr>
        <w:t>Igualdad de género en el ámbito de la ciencia, la tecnología y la innovación;</w:t>
      </w:r>
    </w:p>
    <w:p w:rsidR="00B6155E" w:rsidRPr="003C444D" w:rsidRDefault="00B6155E" w:rsidP="003C444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</w:rPr>
      </w:pPr>
      <w:r w:rsidRPr="003C444D">
        <w:rPr>
          <w:rFonts w:ascii="Arial" w:hAnsi="Arial" w:cs="Arial"/>
        </w:rPr>
        <w:t>Proyectos en el ámbito de la ciencia, la investigación, el desarrollo tecnológico y la innovación;</w:t>
      </w:r>
    </w:p>
    <w:p w:rsidR="00B6155E" w:rsidRPr="003C444D" w:rsidRDefault="00B6155E" w:rsidP="003C444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</w:rPr>
      </w:pPr>
      <w:r w:rsidRPr="003C444D">
        <w:rPr>
          <w:rFonts w:ascii="Arial" w:hAnsi="Arial" w:cs="Arial"/>
        </w:rPr>
        <w:t>Laboratorios nacionales</w:t>
      </w:r>
    </w:p>
    <w:p w:rsidR="00B6155E" w:rsidRPr="003C444D" w:rsidRDefault="00B6155E" w:rsidP="003C444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</w:rPr>
      </w:pPr>
      <w:r w:rsidRPr="003C444D">
        <w:rPr>
          <w:rFonts w:ascii="Arial" w:hAnsi="Arial" w:cs="Arial"/>
        </w:rPr>
        <w:t>Premios de ciencia, tecnología e innovación;</w:t>
      </w:r>
    </w:p>
    <w:p w:rsidR="00B6155E" w:rsidRPr="003C444D" w:rsidRDefault="00B6155E" w:rsidP="003C444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</w:rPr>
      </w:pPr>
      <w:r w:rsidRPr="003C444D">
        <w:rPr>
          <w:rFonts w:ascii="Arial" w:hAnsi="Arial" w:cs="Arial"/>
        </w:rPr>
        <w:t>Infraestructura en CTI y servicios asociados</w:t>
      </w:r>
    </w:p>
    <w:p w:rsidR="00B6155E" w:rsidRPr="003C444D" w:rsidRDefault="00B6155E" w:rsidP="003C444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</w:rPr>
      </w:pPr>
      <w:r w:rsidRPr="003C444D">
        <w:rPr>
          <w:rFonts w:ascii="Arial" w:hAnsi="Arial" w:cs="Arial"/>
        </w:rPr>
        <w:t>Otras relacionadas con el objeto del CONACYT</w:t>
      </w:r>
    </w:p>
    <w:p w:rsidR="00B6155E" w:rsidRPr="003C444D" w:rsidRDefault="00B6155E" w:rsidP="00B6155E">
      <w:pPr>
        <w:rPr>
          <w:rFonts w:ascii="Arial" w:hAnsi="Arial" w:cs="Arial"/>
          <w:b/>
        </w:rPr>
      </w:pPr>
    </w:p>
    <w:p w:rsidR="00B6155E" w:rsidRPr="003C444D" w:rsidRDefault="00B6155E" w:rsidP="00B6155E">
      <w:pPr>
        <w:rPr>
          <w:rFonts w:ascii="Arial" w:hAnsi="Arial" w:cs="Arial"/>
          <w:b/>
        </w:rPr>
      </w:pPr>
    </w:p>
    <w:p w:rsidR="003C444D" w:rsidRDefault="003C444D" w:rsidP="003C444D">
      <w:pPr>
        <w:pStyle w:val="NormalWeb"/>
        <w:jc w:val="both"/>
      </w:pPr>
      <w:r>
        <w:rPr>
          <w:b/>
          <w:bCs/>
        </w:rPr>
        <w:t>¿Cómo acceder?</w:t>
      </w:r>
    </w:p>
    <w:p w:rsidR="003C444D" w:rsidRDefault="003C444D" w:rsidP="003C444D">
      <w:pPr>
        <w:pStyle w:val="NormalWeb"/>
        <w:jc w:val="both"/>
      </w:pPr>
      <w:r>
        <w:t>Los interesados no deberán tener adeudos económicos con el CONACYT por apoyos emitidos anteriormente a través del Programa y deberán cumplir con todos los requisitos que se establezcan en los Lineamientos y/o en las Convocatorias y Términos de Referencia correspondientes, según las modalidades de apoyo. Adicionalmente, los solicitantes nacionales deberán, en los casos que así se requiera, tener vigente su inscripción en el RENIECYT o CVU a la presentación de su Solicitud de Apoyo y presentar el formato 32D emitido por el Servicio de Administración Tributaria, en los casos en los que así se requiera. </w:t>
      </w:r>
    </w:p>
    <w:p w:rsidR="003C444D" w:rsidRDefault="003C444D" w:rsidP="003C444D">
      <w:pPr>
        <w:pStyle w:val="NormalWeb"/>
        <w:jc w:val="both"/>
      </w:pPr>
      <w:r>
        <w:rPr>
          <w:b/>
          <w:bCs/>
        </w:rPr>
        <w:t>¿A quién va dirigido?</w:t>
      </w:r>
    </w:p>
    <w:p w:rsidR="003C444D" w:rsidRDefault="003C444D" w:rsidP="003C444D">
      <w:pPr>
        <w:pStyle w:val="NormalWeb"/>
        <w:jc w:val="both"/>
      </w:pPr>
      <w:r>
        <w:t>La población objetivo del Programa son aquellas personas físicas y morales que tienen rezago en sus capacidades de tecnología, ciencia e innovación que cuenten con RENIECYT vigente o CVU, y que no tengan adeudos económicos por apoyos otorgados con anterioridad mediante el Programa, o algún procedimiento de litigio abierto con el CONACYT</w:t>
      </w:r>
    </w:p>
    <w:p w:rsidR="003C444D" w:rsidRDefault="003C444D" w:rsidP="003C444D">
      <w:pPr>
        <w:pStyle w:val="NormalWeb"/>
        <w:jc w:val="both"/>
      </w:pPr>
      <w:r>
        <w:rPr>
          <w:b/>
          <w:bCs/>
        </w:rPr>
        <w:t>¿A quién contactar para mayor información?</w:t>
      </w:r>
    </w:p>
    <w:p w:rsidR="003C444D" w:rsidRDefault="003C444D" w:rsidP="003C444D">
      <w:pPr>
        <w:pStyle w:val="NormalWeb"/>
        <w:jc w:val="both"/>
      </w:pPr>
      <w:r>
        <w:t>La información específica de los apoyos se proporcionará a través del contacto establecido en las Bases y Términos de Referencia de cada convocatoria.</w:t>
      </w:r>
    </w:p>
    <w:p w:rsidR="00253935" w:rsidRPr="003C444D" w:rsidRDefault="00253935">
      <w:pPr>
        <w:rPr>
          <w:rFonts w:ascii="Arial" w:hAnsi="Arial" w:cs="Arial"/>
        </w:rPr>
      </w:pPr>
    </w:p>
    <w:p w:rsidR="00253935" w:rsidRPr="003C444D" w:rsidRDefault="00253935">
      <w:pPr>
        <w:rPr>
          <w:rFonts w:ascii="Arial" w:hAnsi="Arial" w:cs="Arial"/>
        </w:rPr>
      </w:pPr>
    </w:p>
    <w:p w:rsidR="00253935" w:rsidRPr="003C444D" w:rsidRDefault="00253935">
      <w:pPr>
        <w:rPr>
          <w:rFonts w:ascii="Arial" w:hAnsi="Arial" w:cs="Arial"/>
        </w:rPr>
      </w:pPr>
    </w:p>
    <w:sectPr w:rsidR="00253935" w:rsidRPr="003C4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9EE"/>
    <w:multiLevelType w:val="multilevel"/>
    <w:tmpl w:val="76E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7841"/>
    <w:multiLevelType w:val="hybridMultilevel"/>
    <w:tmpl w:val="3DF2E87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B145A"/>
    <w:multiLevelType w:val="hybridMultilevel"/>
    <w:tmpl w:val="237E0A1A"/>
    <w:lvl w:ilvl="0" w:tplc="E910B046">
      <w:start w:val="1"/>
      <w:numFmt w:val="lowerRoman"/>
      <w:lvlText w:val="%1."/>
      <w:lvlJc w:val="left"/>
      <w:pPr>
        <w:ind w:left="1395" w:hanging="10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505F2"/>
    <w:multiLevelType w:val="multilevel"/>
    <w:tmpl w:val="A412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719F0"/>
    <w:multiLevelType w:val="hybridMultilevel"/>
    <w:tmpl w:val="A44803F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20374C"/>
    <w:multiLevelType w:val="hybridMultilevel"/>
    <w:tmpl w:val="3DAE8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16A68"/>
    <w:multiLevelType w:val="hybridMultilevel"/>
    <w:tmpl w:val="C2B6311C"/>
    <w:lvl w:ilvl="0" w:tplc="C10C91E6">
      <w:start w:val="1"/>
      <w:numFmt w:val="lowerRoman"/>
      <w:lvlText w:val="%1."/>
      <w:lvlJc w:val="left"/>
      <w:pPr>
        <w:ind w:left="1215" w:hanging="8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C6FED"/>
    <w:multiLevelType w:val="hybridMultilevel"/>
    <w:tmpl w:val="4F0A927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35"/>
    <w:rsid w:val="00253935"/>
    <w:rsid w:val="003C444D"/>
    <w:rsid w:val="0058613B"/>
    <w:rsid w:val="008C057B"/>
    <w:rsid w:val="00B6155E"/>
    <w:rsid w:val="00FF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F08E"/>
  <w15:chartTrackingRefBased/>
  <w15:docId w15:val="{4E76FC10-DC81-4AD6-8B0C-ADB05ACF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50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93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61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1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61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F50A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F50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F50A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4294967097</TotalTime>
  <Pages>5</Pages>
  <Words>1155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Colin</dc:creator>
  <cp:keywords/>
  <dc:description/>
  <cp:lastModifiedBy>Uriel Colin</cp:lastModifiedBy>
  <cp:revision>1</cp:revision>
  <dcterms:created xsi:type="dcterms:W3CDTF">2018-08-31T08:47:00Z</dcterms:created>
  <dcterms:modified xsi:type="dcterms:W3CDTF">2018-08-31T05:28:00Z</dcterms:modified>
</cp:coreProperties>
</file>