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C79100"/>
          <w:spacing w:val="40"/>
          <w:sz w:val="17"/>
          <w:szCs w:val="17"/>
          <w:lang w:val="fr-FR"/>
        </w:rPr>
        <w:t xml:space="preserve">PROPOSITION DE PLAN</w:t>
      </w:r>
    </w:p>
    <w:p>
      <w:pPr>
        <w:pBdr>
          <w:bottom w:val="single" w:color="C79100" w:sz="12" w:space="8"/>
        </w:pBdr>
        <w:spacing w:after="240" w:line="252" w:lineRule="auto"/>
      </w:pPr>
      <w:r>
        <w:rPr>
          <w:b/>
          <w:bCs/>
          <w:color w:val="003399"/>
          <w:sz w:val="40"/>
          <w:szCs w:val="40"/>
          <w:lang w:val="fr-FR"/>
        </w:rPr>
        <w:t xml:space="preserve">Un système fiscal pour la France</w:t>
      </w:r>
      <w:r>
        <w:rPr>
          <w:b/>
          <w:bCs/>
          <w:color w:val="003399"/>
          <w:sz w:val="40"/>
          <w:szCs w:val="40"/>
          <w:lang w:val="fr-FR"/>
        </w:rPr>
        <w:br/>
        <w:t xml:space="preserve">au </w:t>
      </w:r>
      <w:r>
        <w:rPr>
          <w:b/>
          <w:bCs/>
          <w:color w:val="003399"/>
          <w:sz w:val="40"/>
          <w:szCs w:val="40"/>
          <w:lang w:val="fr-FR"/>
        </w:rPr>
        <w:t xml:space="preserve">XXI</w:t>
      </w:r>
      <w:r>
        <w:rPr>
          <w:b/>
          <w:bCs/>
          <w:color w:val="003399"/>
          <w:sz w:val="40"/>
          <w:szCs w:val="40"/>
          <w:vertAlign w:val="superscript"/>
          <w:lang w:val="fr-FR"/>
        </w:rPr>
        <w:t xml:space="preserve">e</w:t>
      </w:r>
      <w:r>
        <w:rPr>
          <w:b/>
          <w:bCs/>
          <w:color w:val="003399"/>
          <w:sz w:val="40"/>
          <w:szCs w:val="40"/>
          <w:lang w:val="fr-FR"/>
        </w:rPr>
        <w:t xml:space="preserve"> siècle</w:t>
      </w:r>
    </w:p>
    <w:p>
      <w:pPr>
        <w:pBdr>
          <w:left w:val="single" w:color="003399" w:sz="24" w:space="10"/>
        </w:pBdr>
        <w:shd w:fill="EEF2FA" w:color="auto" w:val="clear"/>
        <w:spacing w:after="200" w:before="120" w:line="288" w:lineRule="auto"/>
        <w:ind w:left="120" w:right="120"/>
      </w:pPr>
      <w:r>
        <w:rPr>
          <w:b/>
          <w:bCs/>
          <w:color w:val="003399"/>
          <w:lang w:val="fr-FR"/>
        </w:rPr>
        <w:t xml:space="preserve">La thèse. </w:t>
      </w:r>
      <w:r>
        <w:rPr>
          <w:lang w:val="fr-FR"/>
        </w:rPr>
        <w:t xml:space="preserve">À niveau de recettes et de redistribution donnés, toutes les architectures fiscales ne se valent pas. Il est possible de concevoir un système plus simple, plus neutre et moins destructeur d’activité sans renoncer à ses objectifs de justice ou de financement. Aujourd’hui, la France prélève beaucoup parce qu’elle dépense beaucoup, et elle prélève mal : trop sur le travail et la production, pas assez sur la consommation et la transmission. Nous proposons de rebâtir le système fiscal français pour l’adapter au </w:t>
      </w:r>
      <w:r>
        <w:rPr>
          <w:lang w:val="fr-FR"/>
        </w:rPr>
        <w:t xml:space="preserve">XXI</w:t>
      </w:r>
      <w:r>
        <w:rPr>
          <w:vertAlign w:val="superscript"/>
          <w:lang w:val="fr-FR"/>
        </w:rPr>
        <w:t xml:space="preserve">e</w:t>
      </w:r>
      <w:r>
        <w:rPr>
          <w:lang w:val="fr-FR"/>
        </w:rPr>
        <w:t xml:space="preserve"> siècle</w:t>
      </w:r>
      <w:r>
        <w:rPr>
          <w:lang w:val="fr-FR"/>
        </w:rPr>
        <w:t xml:space="preserve">.</w:t>
      </w:r>
    </w:p>
    <w:p>
      <w:pPr>
        <w:pStyle w:val="Heading1"/>
      </w:pPr>
      <w:r>
        <w:rPr>
          <w:color w:val="C79100"/>
          <w:spacing w:val="30"/>
          <w:sz w:val="17"/>
          <w:szCs w:val="17"/>
          <w:lang w:val="fr-FR"/>
        </w:rPr>
        <w:t xml:space="preserve">PREMIÈRE PARTIE</w:t>
      </w:r>
      <w:r>
        <w:rPr>
          <w:lang w:val="fr-FR"/>
        </w:rPr>
        <w:br/>
        <w:t xml:space="preserve">Qu’est-ce qu’un bon impôt ?</w:t>
      </w:r>
    </w:p>
    <w:p>
      <w:pPr>
        <w:pStyle w:val="Heading2"/>
      </w:pPr>
      <w:r>
        <w:rPr>
          <w:color w:val="C79100"/>
          <w:lang w:val="fr-FR"/>
        </w:rPr>
        <w:t xml:space="preserve">1.</w:t>
      </w:r>
      <w:r>
        <w:rPr>
          <w:lang w:val="fr-FR"/>
        </w:rPr>
        <w:t xml:space="preserve">  Le pacte fiscal : les principes qui fondent l’impôt</w:t>
      </w:r>
    </w:p>
    <w:p>
      <w:pPr>
        <w:pStyle w:val="ListParagraph"/>
        <w:numPr>
          <w:ilvl w:val="0"/>
          <w:numId w:val="2"/>
        </w:numPr>
      </w:pPr>
      <w:r>
        <w:rPr>
          <w:b/>
          <w:bCs/>
          <w:lang w:val="fr-FR"/>
        </w:rPr>
        <w:t xml:space="preserve">Un socle commun : la Déclaration de 1789.</w:t>
      </w:r>
      <w:r>
        <w:rPr>
          <w:lang w:val="fr-FR"/>
        </w:rPr>
        <w:t xml:space="preserve"> La contribution commune est « indispensable », répartie entre les citoyens « en raison de leurs facultés » ; les citoyens doivent pouvoir en « constater la nécessité », la « consentir librement » et en « suivre l’emploi ». Ces principes peuvent servir de point de départ théoriquement accepté par tous avant tout débat sur le niveau ou la structure de l’impôt.</w:t>
      </w:r>
    </w:p>
    <w:p>
      <w:pPr>
        <w:pStyle w:val="ListParagraph"/>
        <w:numPr>
          <w:ilvl w:val="0"/>
          <w:numId w:val="2"/>
        </w:numPr>
      </w:pPr>
      <w:r>
        <w:rPr>
          <w:b/>
          <w:bCs/>
          <w:lang w:val="fr-FR"/>
        </w:rPr>
        <w:t xml:space="preserve">Nécessité : lever ce dont la collectivité a besoin, sans coût inutile.</w:t>
      </w:r>
      <w:r>
        <w:rPr>
          <w:lang w:val="fr-FR"/>
        </w:rPr>
        <w:t xml:space="preserve"> En langage économique, l’impôt doit financer les dépenses jugées nécessaires, mais une recette donnée doit être levée en détruisant le moins possible d’activité et de valeur.</w:t>
      </w:r>
    </w:p>
    <w:p>
      <w:pPr>
        <w:pStyle w:val="ListParagraph"/>
        <w:numPr>
          <w:ilvl w:val="0"/>
          <w:numId w:val="2"/>
        </w:numPr>
      </w:pPr>
      <w:r>
        <w:rPr>
          <w:b/>
          <w:bCs/>
          <w:lang w:val="fr-FR"/>
        </w:rPr>
        <w:t xml:space="preserve">Facultés : répartir l’effort selon la capacité contributive.</w:t>
      </w:r>
      <w:r>
        <w:rPr>
          <w:lang w:val="fr-FR"/>
        </w:rPr>
        <w:t xml:space="preserve"> Le système fiscal doit tenir compte des différences de revenus et de ressources, sans jamais revêtir de caractère confiscatoire selon la jurisprudence du Conseil constitutionnel. Le degré exact de redistribution relève du choix collectif ; l’économie peut ensuite chercher la manière la moins coûteuse de l’obtenir.</w:t>
      </w:r>
    </w:p>
    <w:p>
      <w:pPr>
        <w:pStyle w:val="ListParagraph"/>
        <w:numPr>
          <w:ilvl w:val="0"/>
          <w:numId w:val="2"/>
        </w:numPr>
      </w:pPr>
      <w:r>
        <w:rPr>
          <w:b/>
          <w:bCs/>
          <w:lang w:val="fr-FR"/>
        </w:rPr>
        <w:t xml:space="preserve">Consentement : un prélèvement lisible, prévisible et proportionné.</w:t>
      </w:r>
      <w:r>
        <w:rPr>
          <w:lang w:val="fr-FR"/>
        </w:rPr>
        <w:t xml:space="preserve"> Le contribuable doit pouvoir comprendre ce qu’il paie et selon quelles règles. Cela conduit à rechercher des barèmes lisibles, à limiter les taux marginaux excessifs et à éviter qu’un prélèvement devienne disproportionné par rapport à son assiette.</w:t>
      </w:r>
    </w:p>
    <w:p>
      <w:pPr>
        <w:pStyle w:val="ListParagraph"/>
        <w:numPr>
          <w:ilvl w:val="0"/>
          <w:numId w:val="2"/>
        </w:numPr>
      </w:pPr>
      <w:r>
        <w:rPr>
          <w:b/>
          <w:bCs/>
          <w:lang w:val="fr-FR"/>
        </w:rPr>
        <w:t xml:space="preserve">Contrôle de l’emploi : Un système fiscal doit être pensé pour financer, avec le moins de distorsion possible, un ensemble de dépenses publiques répondant à des choix collectifs.</w:t>
      </w:r>
      <w:r>
        <w:rPr>
          <w:lang w:val="fr-FR"/>
        </w:rPr>
        <w:t xml:space="preserve"> Le consentement suppose d’accepter les prélèvements car ils sont justifiés par des dépenses répondant aux besoins de la société. Transparence et responsabilité dans l’usage de l’argent public participent donc à la qualité du système fiscal, ce qui suppose que l’État, la Sécurité sociale et les collectivités disposent chacun de ressources propres et identifiables.</w:t>
      </w:r>
    </w:p>
    <w:p>
      <w:pPr>
        <w:pStyle w:val="Heading2"/>
      </w:pPr>
      <w:r>
        <w:rPr>
          <w:color w:val="C79100"/>
          <w:lang w:val="fr-FR"/>
        </w:rPr>
        <w:t xml:space="preserve">2.</w:t>
      </w:r>
      <w:r>
        <w:rPr>
          <w:lang w:val="fr-FR"/>
        </w:rPr>
        <w:t xml:space="preserve">  Financer, orienter, corriger : le triangle d’or de l’impôt</w:t>
      </w:r>
    </w:p>
    <w:p>
      <w:pPr>
        <w:keepNext/>
        <w:spacing w:after="100"/>
      </w:pPr>
      <w:r>
        <w:rPr>
          <w:i/>
          <w:iCs/>
          <w:color w:val="5F6368"/>
          <w:lang w:val="fr-FR"/>
        </w:rPr>
        <w:t xml:space="preserve">Présenter les trois grandes fonctions du système fiscal à partir d’exemples concrets, puis montrer pourquoi chaque impôt peut difficilement valider les trois côtés du triangle, d’où la nécessité d’évaluer le système dans son entièreté.</w:t>
      </w:r>
    </w:p>
    <w:p>
      <w:pPr>
        <w:pStyle w:val="ListParagraph"/>
        <w:numPr>
          <w:ilvl w:val="0"/>
          <w:numId w:val="2"/>
        </w:numPr>
      </w:pPr>
      <w:r>
        <w:rPr>
          <w:b/>
          <w:bCs/>
          <w:lang w:val="fr-FR"/>
        </w:rPr>
        <w:t xml:space="preserve">Financer l’action publique :</w:t>
      </w:r>
      <w:r>
        <w:rPr>
          <w:lang w:val="fr-FR"/>
        </w:rPr>
        <w:t xml:space="preserve"> lever les recettes nécessaires aux dépenses collectives, en limitant autant que possible le coût économique du prélèvement.</w:t>
      </w:r>
    </w:p>
    <w:p>
      <w:pPr>
        <w:pStyle w:val="ListParagraph"/>
        <w:numPr>
          <w:ilvl w:val="0"/>
          <w:numId w:val="2"/>
        </w:numPr>
      </w:pPr>
      <w:r>
        <w:rPr>
          <w:b/>
          <w:bCs/>
          <w:lang w:val="fr-FR"/>
        </w:rPr>
        <w:t xml:space="preserve">Orienter les comportements :</w:t>
      </w:r>
      <w:r>
        <w:rPr>
          <w:lang w:val="fr-FR"/>
        </w:rPr>
        <w:t xml:space="preserve"> encourager ou décourager certains comportements, notamment lorsqu’ils produisent des externalités positives (recherche, innovation) ou négatives (pollution, tabac).</w:t>
      </w:r>
    </w:p>
    <w:p>
      <w:pPr>
        <w:pStyle w:val="ListParagraph"/>
        <w:numPr>
          <w:ilvl w:val="0"/>
          <w:numId w:val="2"/>
        </w:numPr>
      </w:pPr>
      <w:r>
        <w:rPr>
          <w:b/>
          <w:bCs/>
          <w:lang w:val="fr-FR"/>
        </w:rPr>
        <w:t xml:space="preserve">Corriger les inégalités :</w:t>
      </w:r>
      <w:r>
        <w:rPr>
          <w:lang w:val="fr-FR"/>
        </w:rPr>
        <w:t xml:space="preserve"> répartir l’effort selon les facultés contributives et assurer le degré de redistribution souhaité collectivement, ce qui pose la question du meilleur instrument : la progressivité et les dispositifs fiscaux, ou les dépenses publiques et les transferts sociaux ? Ici, encadré possible pour expliciter ce point souvent oublié.</w:t>
      </w:r>
    </w:p>
    <w:p>
      <w:pPr>
        <w:pStyle w:val="ListParagraph"/>
        <w:numPr>
          <w:ilvl w:val="0"/>
          <w:numId w:val="2"/>
        </w:numPr>
      </w:pPr>
      <w:r>
        <w:rPr>
          <w:b/>
          <w:bCs/>
          <w:lang w:val="fr-FR"/>
        </w:rPr>
        <w:t xml:space="preserve">Ces objectifs entrent en tension (Tinbergen) :</w:t>
      </w:r>
      <w:r>
        <w:rPr>
          <w:lang w:val="fr-FR"/>
        </w:rPr>
        <w:t xml:space="preserve"> plusieurs objectifs nécessitent généralement plusieurs instruments au risque de créer des outils complexes et inefficaces.</w:t>
      </w:r>
    </w:p>
    <w:p>
      <w:pPr>
        <w:pStyle w:val="ListParagraph"/>
        <w:numPr>
          <w:ilvl w:val="0"/>
          <w:numId w:val="2"/>
        </w:numPr>
      </w:pPr>
      <w:r>
        <w:rPr>
          <w:b/>
          <w:bCs/>
          <w:lang w:val="fr-FR"/>
        </w:rPr>
        <w:t xml:space="preserve">On ne doit donc pas demander à chaque impôt d’être à la fois efficace, redistributif et incitatif.</w:t>
      </w:r>
      <w:r>
        <w:rPr>
          <w:lang w:val="fr-FR"/>
        </w:rPr>
        <w:t xml:space="preserve"> C’est l’ensemble du système fiscal et social qui doit permettre d’accomplir/d’atteindre les trois sommets du triangle (Musgrave ; Mirrlees Review).</w:t>
      </w:r>
    </w:p>
    <w:p>
      <w:pPr>
        <w:pStyle w:val="Heading2"/>
      </w:pPr>
      <w:r>
        <w:rPr>
          <w:color w:val="C79100"/>
          <w:lang w:val="fr-FR"/>
        </w:rPr>
        <w:t xml:space="preserve">3.</w:t>
      </w:r>
      <w:r>
        <w:rPr>
          <w:lang w:val="fr-FR"/>
        </w:rPr>
        <w:t xml:space="preserve">  Prélever mieux : ce que nous apprend l’économie de l’impôt</w:t>
      </w:r>
    </w:p>
    <w:p>
      <w:pPr>
        <w:keepNext/>
        <w:spacing w:after="100"/>
      </w:pPr>
      <w:r>
        <w:rPr>
          <w:i/>
          <w:iCs/>
          <w:color w:val="5F6368"/>
          <w:lang w:val="fr-FR"/>
        </w:rPr>
        <w:t xml:space="preserve">Présenter de manière pédagogique, à partir d’exemples concrets, quatre grands enseignements de la littérature sur la taxation optimale.</w:t>
      </w:r>
    </w:p>
    <w:p>
      <w:pPr>
        <w:pStyle w:val="ListParagraph"/>
        <w:numPr>
          <w:ilvl w:val="0"/>
          <w:numId w:val="2"/>
        </w:numPr>
      </w:pPr>
      <w:r>
        <w:rPr>
          <w:b/>
          <w:bCs/>
          <w:lang w:val="fr-FR"/>
        </w:rPr>
        <w:t xml:space="preserve">Tout impôt a un coût économique.</w:t>
      </w:r>
      <w:r>
        <w:rPr>
          <w:lang w:val="fr-FR"/>
        </w:rPr>
        <w:t xml:space="preserve"> Expliquer la perte sèche à partir d’un échange rendu impossible par l’impôt (exemple : un propriétaire d’appartement prêt à vendre à 200 000 €, un acheteur prêt à payer 210 000 ; l’État arrive et impose 8 % de droits de mutation entre les deux : la vente n’a pas lieu, personne ne paie l’impôt et le gain de l’échange est perdu pour tous). Puis introduire les taux marginaux, les réactions comportementales, les élasticités et l’intuition de la courbe de Laffer : taxer davantage une activité peut réduire l’assiette au point de faire baisser la recette.</w:t>
      </w:r>
    </w:p>
    <w:p>
      <w:pPr>
        <w:pStyle w:val="ListParagraph"/>
        <w:numPr>
          <w:ilvl w:val="0"/>
          <w:numId w:val="2"/>
        </w:numPr>
      </w:pPr>
      <w:r>
        <w:rPr>
          <w:b/>
          <w:bCs/>
          <w:lang w:val="fr-FR"/>
        </w:rPr>
        <w:t xml:space="preserve">Tous les impôts ne sont pas également efficaces.</w:t>
      </w:r>
      <w:r>
        <w:rPr>
          <w:lang w:val="fr-FR"/>
        </w:rPr>
        <w:t xml:space="preserve"> Pourquoi privilégier des assiettes larges et des taux bas ? Intuition du coût quadratique (sans le mentionner, bien sûr). Pourquoi rechercher la neutralité fiscale, éviter de taxer les intrants et privilégier les assiettes peu élastiques (Règle de Ramsey) ? Introduire la fiscalité pigouvienne, et le classement des impôts selon leurs effets sur la croissance établi par l’OCDE.</w:t>
      </w:r>
      <w:r>
        <w:rPr>
          <w:rStyle w:val="FootnoteReference"/>
        </w:rPr>
        <w:footnoteReference w:id="1"/>
      </w:r>
    </w:p>
    <w:p>
      <w:pPr>
        <w:pStyle w:val="ListParagraph"/>
        <w:numPr>
          <w:ilvl w:val="0"/>
          <w:numId w:val="2"/>
        </w:numPr>
      </w:pPr>
      <w:r>
        <w:rPr>
          <w:b/>
          <w:bCs/>
          <w:lang w:val="fr-FR"/>
        </w:rPr>
        <w:t xml:space="preserve">Celui qui paie l’impôt n’est pas toujours celui qu’on croit.</w:t>
      </w:r>
      <w:r>
        <w:rPr>
          <w:lang w:val="fr-FR"/>
        </w:rPr>
        <w:t xml:space="preserve"> Introduire l’incidence fiscale : une taxe sur les entreprises peut être supportée par les salariés, les consommateurs ou les actionnaires, la charge retombant sur celui qui peut le moins s’y soustraire. Ici, on explique pourquoi monter des impôts en apparence « sur les riches » ou « sur les entreprises » touche en réalité Monsieur et Madame Tout-le-Monde.</w:t>
      </w:r>
    </w:p>
    <w:p>
      <w:pPr>
        <w:pStyle w:val="ListParagraph"/>
        <w:numPr>
          <w:ilvl w:val="0"/>
          <w:numId w:val="2"/>
        </w:numPr>
      </w:pPr>
      <w:r>
        <w:rPr>
          <w:b/>
          <w:bCs/>
          <w:lang w:val="fr-FR"/>
        </w:rPr>
        <w:t xml:space="preserve">La justice fiscale se juge à l’échelle du système.</w:t>
      </w:r>
      <w:r>
        <w:rPr>
          <w:lang w:val="fr-FR"/>
        </w:rPr>
        <w:t xml:space="preserve"> Un impôt isolément régressif peut s’inscrire dans un système globalement redistributif. Expliquer pourquoi une TVA uniforme accompagnée de transferts ciblés peut être plus efficace et tout aussi redistributive qu’une TVA à taux réduits.</w:t>
      </w:r>
    </w:p>
    <w:p>
      <w:pPr>
        <w:pBdr>
          <w:left w:val="single" w:color="C79100" w:sz="18" w:space="10"/>
        </w:pBdr>
        <w:spacing w:after="80" w:before="200"/>
        <w:ind w:left="120"/>
      </w:pPr>
      <w:r>
        <w:rPr>
          <w:b/>
          <w:bCs/>
          <w:color w:val="C79100"/>
          <w:lang w:val="fr-FR"/>
        </w:rPr>
        <w:t xml:space="preserve">Transition : </w:t>
      </w:r>
      <w:r>
        <w:rPr>
          <w:i/>
          <w:iCs/>
          <w:color w:val="003399"/>
          <w:lang w:val="fr-FR"/>
        </w:rPr>
        <w:t xml:space="preserve">si ces principes sont relativement simples, comment la France s’en est-elle à ce point éloignée ?</w:t>
      </w:r>
    </w:p>
    <w:p>
      <w:pPr>
        <w:pStyle w:val="Heading1"/>
      </w:pPr>
      <w:r>
        <w:rPr>
          <w:color w:val="C79100"/>
          <w:spacing w:val="30"/>
          <w:sz w:val="17"/>
          <w:szCs w:val="17"/>
          <w:lang w:val="fr-FR"/>
        </w:rPr>
        <w:t xml:space="preserve">DEUXIÈME PARTIE</w:t>
      </w:r>
      <w:r>
        <w:rPr>
          <w:lang w:val="fr-FR"/>
        </w:rPr>
        <w:br/>
        <w:t xml:space="preserve">La France a progressivement perdu le fil de sa fiscalité</w:t>
      </w:r>
      <w:r>
        <w:rPr>
          <w:rStyle w:val="FootnoteReference"/>
        </w:rPr>
        <w:footnoteReference w:id="2"/>
      </w:r>
    </w:p>
    <w:p>
      <w:pPr>
        <w:pStyle w:val="Heading2"/>
      </w:pPr>
      <w:r>
        <w:rPr>
          <w:color w:val="C79100"/>
          <w:lang w:val="fr-FR"/>
        </w:rPr>
        <w:t xml:space="preserve">1.</w:t>
      </w:r>
      <w:r>
        <w:rPr>
          <w:lang w:val="fr-FR"/>
        </w:rPr>
        <w:t xml:space="preserve">  Un système sans logique globale, construit par accumulation (stratification ?)</w:t>
      </w:r>
    </w:p>
    <w:p>
      <w:pPr>
        <w:pStyle w:val="ListParagraph"/>
        <w:numPr>
          <w:ilvl w:val="0"/>
          <w:numId w:val="2"/>
        </w:numPr>
      </w:pPr>
      <w:r>
        <w:rPr>
          <w:b/>
          <w:bCs/>
          <w:lang w:val="fr-FR"/>
        </w:rPr>
        <w:t xml:space="preserve">À chaque besoin nouveau, la solution la plus simple fut d’ajouter un prélèvement.</w:t>
      </w:r>
      <w:r>
        <w:rPr>
          <w:lang w:val="fr-FR"/>
        </w:rPr>
        <w:t xml:space="preserve"> L’État social grandit, de nouvelles dépenses apparaissent — chômage de masse et vieillissement depuis les années 1970 — et les prélèvements suivent sans jamais rattraper la dépense : de 30 % du PIB en 1960 à 45 % en 2022 (Insee). Le système fiscal s’adapte par couches plutôt que par refonte : cotisations pour financer la protection sociale, puis CSG pour élargir son financement, créée en 1991 à 1,1 %, elle est devenue un second impôt sur le revenu, puis CRDS pour financer la dette sociale, créée en 1996 pour treize ans et toujours là.</w:t>
      </w:r>
    </w:p>
    <w:p>
      <w:pPr>
        <w:pStyle w:val="ListParagraph"/>
        <w:numPr>
          <w:ilvl w:val="0"/>
          <w:numId w:val="2"/>
        </w:numPr>
      </w:pPr>
      <w:r>
        <w:rPr>
          <w:b/>
          <w:bCs/>
          <w:lang w:val="fr-FR"/>
        </w:rPr>
        <w:t xml:space="preserve">On taxe d’abord les assiettes les plus faciles à saisir.</w:t>
      </w:r>
      <w:r>
        <w:rPr>
          <w:lang w:val="fr-FR"/>
        </w:rPr>
        <w:t xml:space="preserve"> Les choix fiscaux sont aussi dictés par les possibilités administratives : portes et fenêtres autrefois, salaires prélevés à la source ou consommation aujourd’hui. La facilité de collecte peut donc peser autant que l’efficacité économique dans la naissance d’un impôt.</w:t>
      </w:r>
    </w:p>
    <w:p>
      <w:pPr>
        <w:pStyle w:val="ListParagraph"/>
        <w:numPr>
          <w:ilvl w:val="0"/>
          <w:numId w:val="2"/>
        </w:numPr>
      </w:pPr>
      <w:r>
        <w:rPr>
          <w:b/>
          <w:bCs/>
          <w:lang w:val="fr-FR"/>
        </w:rPr>
        <w:t xml:space="preserve">Les défauts d’un impôt appellent ensuite des correctifs plutôt que sa suppression.</w:t>
      </w:r>
      <w:r>
        <w:rPr>
          <w:lang w:val="fr-FR"/>
        </w:rPr>
        <w:t xml:space="preserve"> Le coût élevé du travail conduit aux allègements de cotisations puis au CICE ; les taux élevés ou mal ciblés conduisent aux niches, exonérations et taux réduits. On compte près de 470 niches aujourd’hui. À force de corriger les conséquences des prélèvements existants, on complexifie encore leur architecture.</w:t>
      </w:r>
    </w:p>
    <w:p>
      <w:pPr>
        <w:pStyle w:val="ListParagraph"/>
        <w:numPr>
          <w:ilvl w:val="0"/>
          <w:numId w:val="2"/>
        </w:numPr>
      </w:pPr>
      <w:r>
        <w:rPr>
          <w:b/>
          <w:bCs/>
          <w:lang w:val="fr-FR"/>
        </w:rPr>
        <w:t xml:space="preserve">Pour combler les trous de chaque réforme, on a multiplié les transferts entre administrations.</w:t>
      </w:r>
      <w:r>
        <w:rPr>
          <w:lang w:val="fr-FR"/>
        </w:rPr>
        <w:t xml:space="preserve"> Quand un impôt est supprimé ou allégé, la facilité est de compenser la perte par une recette nationale reversée à celui qui la subit, plutôt que de repenser son financement. Ainsi, la suppression de la taxe d’habitation et de la CVAE a été compensée aux collectivités par des fractions de TVA, et les allègements de cotisations ont été compensés à la Sécurité sociale par des taxes et de la TVA affectées. Chaque niveau d’administration vit de plus en plus d’une recette qu’il ne décide pas, et personne ne sait plus qui paie quoi ni qui en répond.</w:t>
      </w:r>
    </w:p>
    <w:p>
      <w:pPr>
        <w:pStyle w:val="ListParagraph"/>
        <w:numPr>
          <w:ilvl w:val="0"/>
          <w:numId w:val="2"/>
        </w:numPr>
      </w:pPr>
      <w:r>
        <w:rPr>
          <w:b/>
          <w:bCs/>
          <w:lang w:val="fr-FR"/>
        </w:rPr>
        <w:t xml:space="preserve">L’économie politique favorise cette accumulation.</w:t>
      </w:r>
      <w:r>
        <w:rPr>
          <w:lang w:val="fr-FR"/>
        </w:rPr>
        <w:t xml:space="preserve"> Il est souvent plus facile de créer une taxe sur une base peu visible ou sur un payeur politiquement commode que de remettre à plat l’ensemble. Les cotisations dites « patronales » illustrent l’écart possible entre celui que la loi désigne comme payeur et celui qui supporte économiquement le prélèvement.</w:t>
      </w:r>
    </w:p>
    <w:p>
      <w:pPr>
        <w:pStyle w:val="Heading2"/>
      </w:pPr>
      <w:r>
        <w:rPr>
          <w:color w:val="C79100"/>
          <w:lang w:val="fr-FR"/>
        </w:rPr>
        <w:t xml:space="preserve">2.</w:t>
      </w:r>
      <w:r>
        <w:rPr>
          <w:lang w:val="fr-FR"/>
        </w:rPr>
        <w:t xml:space="preserve">  Beaucoup prélever, mais surtout mal prélever</w:t>
      </w:r>
    </w:p>
    <w:p>
      <w:pPr>
        <w:keepNext/>
        <w:spacing w:after="100"/>
      </w:pPr>
      <w:r>
        <w:rPr>
          <w:i/>
          <w:iCs/>
          <w:color w:val="5F6368"/>
          <w:lang w:val="fr-FR"/>
        </w:rPr>
        <w:t xml:space="preserve">Montrer, à partir de quelques prélèvements emblématiques, où la fiscalité française s’écarte le plus clairement des principes de la première partie.</w:t>
      </w:r>
    </w:p>
    <w:p>
      <w:pPr>
        <w:pStyle w:val="ListParagraph"/>
        <w:numPr>
          <w:ilvl w:val="0"/>
          <w:numId w:val="2"/>
        </w:numPr>
      </w:pPr>
      <w:r>
        <w:rPr>
          <w:b/>
          <w:bCs/>
          <w:lang w:val="fr-FR"/>
        </w:rPr>
        <w:t xml:space="preserve">Beaucoup prélever, parce qu’on dépense beaucoup.</w:t>
      </w:r>
      <w:r>
        <w:rPr>
          <w:lang w:val="fr-FR"/>
        </w:rPr>
        <w:t xml:space="preserve"> La France est au premier rang de la zone euro pour la dépense publique en 2023, avec un écart qui s’est creusé depuis 2001 ; cet écart finance pour deux tiers la protection sociale, d’abord les retraites et la santé (Cochard et Deredec, Bulletin de la Banque de France n° 259/4).</w:t>
      </w:r>
    </w:p>
    <w:p>
      <w:pPr>
        <w:pStyle w:val="ListParagraph"/>
        <w:numPr>
          <w:ilvl w:val="0"/>
          <w:numId w:val="2"/>
        </w:numPr>
      </w:pPr>
      <w:r>
        <w:rPr>
          <w:b/>
          <w:bCs/>
          <w:lang w:val="fr-FR"/>
        </w:rPr>
        <w:t xml:space="preserve">Cotisations et allègements : des effets de seuils importants.</w:t>
      </w:r>
      <w:r>
        <w:rPr>
          <w:lang w:val="fr-FR"/>
        </w:rPr>
        <w:t xml:space="preserve"> La sortie progressive des allègements de cotisations fait fortement augmenter le prélèvement sur l’euro supplémentaire gagné : autour de certains niveaux de salaire, la progression salariale est davantage taxée qu’au salaire moyen. Trente ans d’exonérations ciblées ont épuisé le levier et tassé l’échelle des salaires (Bozio et Wasmer, 2024) ; sur 100 euros gagnés en travaillant, un salarié en garde 54, contre 60 dans les années 1990 (Foucher).</w:t>
      </w:r>
    </w:p>
    <w:p>
      <w:pPr>
        <w:pStyle w:val="ListParagraph"/>
        <w:numPr>
          <w:ilvl w:val="0"/>
          <w:numId w:val="2"/>
        </w:numPr>
      </w:pPr>
      <w:r>
        <w:rPr>
          <w:b/>
          <w:bCs/>
          <w:lang w:val="fr-FR"/>
        </w:rPr>
        <w:t xml:space="preserve">C3S : taxer le chiffre d’affaires plutôt que le bénéfice.</w:t>
      </w:r>
      <w:r>
        <w:rPr>
          <w:lang w:val="fr-FR"/>
        </w:rPr>
        <w:t xml:space="preserve"> La contribution sociale de solidarité des sociétés est due sur les ventes indépendamment de la rentabilité et peut se cumuler le long des chaînes de production : l’exemple le plus clair d’un impôt qui frappe avant même que le profit existe.</w:t>
      </w:r>
    </w:p>
    <w:p>
      <w:pPr>
        <w:pStyle w:val="ListParagraph"/>
        <w:numPr>
          <w:ilvl w:val="0"/>
          <w:numId w:val="2"/>
        </w:numPr>
      </w:pPr>
      <w:r>
        <w:rPr>
          <w:b/>
          <w:bCs/>
          <w:lang w:val="fr-FR"/>
        </w:rPr>
        <w:t xml:space="preserve">Droits de mutation : taxer le fait de déménager plutôt que le foncier.</w:t>
      </w:r>
      <w:r>
        <w:rPr>
          <w:lang w:val="fr-FR"/>
        </w:rPr>
        <w:t xml:space="preserve"> Les droits de mutation à titre onéreux renchérissent directement les transactions immobilières et donc la mobilité, alors que le sol constitue une assiette immobile beaucoup moins sensible aux comportements.</w:t>
      </w:r>
    </w:p>
    <w:p>
      <w:pPr>
        <w:pStyle w:val="ListParagraph"/>
        <w:numPr>
          <w:ilvl w:val="0"/>
          <w:numId w:val="2"/>
        </w:numPr>
      </w:pPr>
      <w:r>
        <w:rPr>
          <w:b/>
          <w:bCs/>
          <w:lang w:val="fr-FR"/>
        </w:rPr>
        <w:t xml:space="preserve">Fiscalité de l’épargne : taxer différemment un même rendement selon son enveloppe.</w:t>
      </w:r>
      <w:r>
        <w:rPr>
          <w:lang w:val="fr-FR"/>
        </w:rPr>
        <w:t xml:space="preserve"> PEA, assurance-vie, compte-titres, livrets ou immobilier supportent des fiscalités très différentes : le choix du placement dépend alors en partie de son statut fiscal plutôt que de son rendement économique.</w:t>
      </w:r>
    </w:p>
    <w:p>
      <w:pPr>
        <w:pStyle w:val="Heading2"/>
      </w:pPr>
      <w:r>
        <w:rPr>
          <w:color w:val="C79100"/>
          <w:lang w:val="fr-FR"/>
        </w:rPr>
        <w:t xml:space="preserve">3.</w:t>
      </w:r>
      <w:r>
        <w:rPr>
          <w:lang w:val="fr-FR"/>
        </w:rPr>
        <w:t xml:space="preserve">  Quand la complexité finit par miner l’efficacité et la justice</w:t>
      </w:r>
    </w:p>
    <w:p>
      <w:pPr>
        <w:keepNext/>
        <w:spacing w:after="100"/>
      </w:pPr>
      <w:r>
        <w:rPr>
          <w:i/>
          <w:iCs/>
          <w:color w:val="5F6368"/>
          <w:lang w:val="fr-FR"/>
        </w:rPr>
        <w:t xml:space="preserve">Montrer qu’à force de corriger des taux élevés par des exceptions, le système devient plus coûteux économiquement, moins neutre et moins lisible.</w:t>
      </w:r>
    </w:p>
    <w:p>
      <w:pPr>
        <w:pStyle w:val="ListParagraph"/>
        <w:numPr>
          <w:ilvl w:val="0"/>
          <w:numId w:val="2"/>
        </w:numPr>
      </w:pPr>
      <w:r>
        <w:rPr>
          <w:b/>
          <w:bCs/>
          <w:lang w:val="fr-FR"/>
        </w:rPr>
        <w:t xml:space="preserve">Des taux élevés, puis des exceptions pour en atténuer les effets.</w:t>
      </w:r>
      <w:r>
        <w:rPr>
          <w:lang w:val="fr-FR"/>
        </w:rPr>
        <w:t xml:space="preserve"> IR et niches fiscales, barème théorique et effectif de la fiscalité sur les transmissions, cotisations élevées et allègements de charges, TVA et taux réduits. Une autre logique serait celle d’assiettes beaucoup plus larges avec des taux plus faibles.</w:t>
      </w:r>
    </w:p>
    <w:p>
      <w:pPr>
        <w:pStyle w:val="ListParagraph"/>
        <w:numPr>
          <w:ilvl w:val="0"/>
          <w:numId w:val="2"/>
        </w:numPr>
      </w:pPr>
      <w:r>
        <w:rPr>
          <w:b/>
          <w:bCs/>
          <w:lang w:val="fr-FR"/>
        </w:rPr>
        <w:t xml:space="preserve">Chaque exception détruit un peu la neutralité de l’impôt.</w:t>
      </w:r>
      <w:r>
        <w:rPr>
          <w:lang w:val="fr-FR"/>
        </w:rPr>
        <w:t xml:space="preserve"> Deux revenus, deux entreprises ou deux consommations comparables ne sont plus taxés de la même manière. Les décisions sont alors orientées par la fiscalité : choix d’un statut, d’un placement, d’un niveau de salaire ou d’un secteur favorisé plutôt que par leur intérêt économique propre.</w:t>
      </w:r>
    </w:p>
    <w:p>
      <w:pPr>
        <w:pStyle w:val="ListParagraph"/>
        <w:numPr>
          <w:ilvl w:val="0"/>
          <w:numId w:val="2"/>
        </w:numPr>
      </w:pPr>
      <w:r>
        <w:rPr>
          <w:b/>
          <w:bCs/>
          <w:lang w:val="fr-FR"/>
        </w:rPr>
        <w:t xml:space="preserve">L’exonération des uns est payée par les autres.</w:t>
      </w:r>
      <w:r>
        <w:rPr>
          <w:lang w:val="fr-FR"/>
        </w:rPr>
        <w:t xml:space="preserve"> À recettes données, toute niche ou allègement oblige à taxer davantage le reste de l’assiette. Le débat fiscal devient alors une lutte permanente pour obtenir ou conserver son régime particulier plutôt qu’une discussion sur le bon niveau du taux commun.</w:t>
      </w:r>
      <w:r>
        <w:rPr>
          <w:rStyle w:val="FootnoteReference"/>
        </w:rPr>
        <w:footnoteReference w:id="3"/>
      </w:r>
    </w:p>
    <w:p>
      <w:pPr>
        <w:pStyle w:val="ListParagraph"/>
        <w:numPr>
          <w:ilvl w:val="0"/>
          <w:numId w:val="2"/>
        </w:numPr>
      </w:pPr>
      <w:r>
        <w:rPr>
          <w:b/>
          <w:bCs/>
          <w:lang w:val="fr-FR"/>
        </w:rPr>
        <w:t xml:space="preserve">Le système devient illisible politiquement.</w:t>
      </w:r>
      <w:r>
        <w:rPr>
          <w:lang w:val="fr-FR"/>
        </w:rPr>
        <w:t xml:space="preserve"> Les allègements de cotisations sont qualifiés d’« aides aux entreprises », les niches tantôt de privilèges, tantôt de politiques publiques : à force de taxer puis de rendre, il devient difficile de savoir qui paie réellement quoi. Taxes affectées et fractions de TVA réparties entre l’État, la Sécurité sociale et les collectivités achèvent de brouiller le lien entre l’impôt et ce qu’il finance.</w:t>
      </w:r>
    </w:p>
    <w:p>
      <w:pPr>
        <w:pStyle w:val="ListParagraph"/>
        <w:numPr>
          <w:ilvl w:val="0"/>
          <w:numId w:val="2"/>
        </w:numPr>
      </w:pPr>
      <w:r>
        <w:rPr>
          <w:b/>
          <w:bCs/>
          <w:lang w:val="fr-FR"/>
        </w:rPr>
        <w:t xml:space="preserve">Au total, un triangle brisé.</w:t>
      </w:r>
      <w:r>
        <w:rPr>
          <w:lang w:val="fr-FR"/>
        </w:rPr>
        <w:t xml:space="preserve"> Le rendement s’obtient par des taux élevés sur des assiettes mitées ; les incitations se contredisent ; la redistribution passe par une complexité que nul ne maîtrise. Le système pèse trop sur le travail et la production, trop peu sur la consommation, et perd le consentement de ceux qui le paient.</w:t>
      </w:r>
    </w:p>
    <w:p>
      <w:pPr>
        <w:pStyle w:val="ListParagraph"/>
        <w:numPr>
          <w:ilvl w:val="0"/>
          <w:numId w:val="2"/>
        </w:numPr>
      </w:pPr>
      <w:r>
        <w:rPr>
          <w:b/>
          <w:bCs/>
          <w:lang w:val="fr-FR"/>
        </w:rPr>
        <w:t xml:space="preserve">Ici peut-être un bullet sur la compréhension/perception qu’en ont les Français ?</w:t>
      </w:r>
      <w:r>
        <w:rPr>
          <w:lang w:val="fr-FR"/>
        </w:rPr>
        <w:t xml:space="preserve"> Je mets qq chiffres en commentaire</w:t>
      </w:r>
      <w:r>
        <w:rPr>
          <w:rStyle w:val="FootnoteReference"/>
        </w:rPr>
        <w:footnoteReference w:id="4"/>
      </w:r>
    </w:p>
    <w:p>
      <w:pPr>
        <w:pStyle w:val="Heading2"/>
      </w:pPr>
      <w:r>
        <w:rPr>
          <w:color w:val="C79100"/>
          <w:lang w:val="fr-FR"/>
        </w:rPr>
        <w:t xml:space="preserve">4.</w:t>
      </w:r>
      <w:r>
        <w:rPr>
          <w:lang w:val="fr-FR"/>
        </w:rPr>
        <w:t xml:space="preserve">  Repartir de la dépense : Combien faut-il prélever ?</w:t>
      </w:r>
    </w:p>
    <w:p>
      <w:r>
        <w:rPr>
          <w:lang w:val="fr-FR"/>
        </w:rPr>
        <w:t xml:space="preserve">Avant de définir la structure, il faut se poser la question du niveau : l’impôt est le prix d’une dépense, et l’on ne peut pas dessiner le bon système sans savoir combien il doit financer.</w:t>
      </w:r>
    </w:p>
    <w:p>
      <w:pPr>
        <w:pStyle w:val="ListParagraph"/>
        <w:numPr>
          <w:ilvl w:val="0"/>
          <w:numId w:val="2"/>
        </w:numPr>
      </w:pPr>
      <w:r>
        <w:rPr>
          <w:b/>
          <w:bCs/>
          <w:lang w:val="fr-FR"/>
        </w:rPr>
        <w:t xml:space="preserve">Le niveau de l’impôt se déduit de celui de la dépense.</w:t>
      </w:r>
      <w:r>
        <w:rPr>
          <w:lang w:val="fr-FR"/>
        </w:rPr>
        <w:t xml:space="preserve"> On ne juge pas un système fiscal indépendamment de ce qu’il finance. Ce plan ne tranche pas la taille de l’État, mais refuse de penser la structure de l’impôt sans se donner un repère sur son niveau.</w:t>
      </w:r>
    </w:p>
    <w:p>
      <w:pPr>
        <w:pStyle w:val="ListParagraph"/>
        <w:numPr>
          <w:ilvl w:val="0"/>
          <w:numId w:val="2"/>
        </w:numPr>
      </w:pPr>
      <w:r>
        <w:rPr>
          <w:b/>
          <w:bCs/>
          <w:lang w:val="fr-FR"/>
        </w:rPr>
        <w:t xml:space="preserve">Le bon point de comparaison, ce sont nos voisins.</w:t>
      </w:r>
      <w:r>
        <w:rPr>
          <w:lang w:val="fr-FR"/>
        </w:rPr>
        <w:t xml:space="preserve"> Plutôt qu’un niveau « idéal » abstrait, on compare la France aux pays qui partagent sa monnaie, son niveau de développement et un modèle social proche. L’écart avec la zone euro atteint environ 7,5 points de PIB en 2023, dont les deux tiers s’expliquent par les dépenses de protection sociale (Bulletin BdF n° 259/4). Toutefois, une partie de l’écart n’est pas réductible (conventions comptables, démographie, dépenses contraintes et choix collectifs). D’où une « norme européenne corrigée » autour de 52 % du PIB, soit 5 points de moins qu’aujourd’hui. Ce serait le niveau nous permettant de stabiliser le ratio de dette publique.</w:t>
      </w:r>
    </w:p>
    <w:p>
      <w:pPr>
        <w:pStyle w:val="ListParagraph"/>
        <w:numPr>
          <w:ilvl w:val="0"/>
          <w:numId w:val="2"/>
        </w:numPr>
      </w:pPr>
      <w:r>
        <w:rPr>
          <w:b/>
          <w:bCs/>
          <w:lang w:val="fr-FR"/>
        </w:rPr>
        <w:t xml:space="preserve">Moins de dépenses signifie moins d’impôts et mieux conçus.</w:t>
      </w:r>
      <w:r>
        <w:rPr>
          <w:lang w:val="fr-FR"/>
        </w:rPr>
        <w:t xml:space="preserve"> Un taux de prélèvement cohérent avec la cible de dépense est de 42 % du PIB.</w:t>
      </w:r>
    </w:p>
    <w:p>
      <w:pPr>
        <w:pBdr>
          <w:left w:val="single" w:color="C79100" w:sz="18" w:space="10"/>
        </w:pBdr>
        <w:spacing w:after="80" w:before="200"/>
        <w:ind w:left="120"/>
      </w:pPr>
      <w:r>
        <w:rPr>
          <w:b/>
          <w:bCs/>
          <w:color w:val="C79100"/>
          <w:lang w:val="fr-FR"/>
        </w:rPr>
        <w:t xml:space="preserve">Transition : </w:t>
      </w:r>
      <w:r>
        <w:rPr>
          <w:i/>
          <w:iCs/>
          <w:color w:val="003399"/>
          <w:lang w:val="fr-FR"/>
        </w:rPr>
        <w:t xml:space="preserve">une fois le niveau posé, reste à dessiner l’architecture : à quoi ressemblerait un système plus simple et plus efficace ?</w:t>
      </w:r>
    </w:p>
    <w:p>
      <w:pPr>
        <w:pStyle w:val="Heading1"/>
      </w:pPr>
      <w:r>
        <w:rPr>
          <w:color w:val="C79100"/>
          <w:spacing w:val="30"/>
          <w:sz w:val="17"/>
          <w:szCs w:val="17"/>
          <w:lang w:val="fr-FR"/>
        </w:rPr>
        <w:t xml:space="preserve">TROISIÈME PARTIE</w:t>
      </w:r>
      <w:r>
        <w:rPr>
          <w:lang w:val="fr-FR"/>
        </w:rPr>
        <w:br/>
        <w:t xml:space="preserve">Quel système fiscal pour la France ?</w:t>
      </w:r>
      <w:r>
        <w:rPr>
          <w:rStyle w:val="FootnoteReference"/>
        </w:rPr>
        <w:footnoteReference w:id="5"/>
      </w:r>
    </w:p>
    <w:p>
      <w:pPr>
        <w:keepNext/>
        <w:spacing w:after="100"/>
      </w:pPr>
      <w:r>
        <w:rPr>
          <w:i/>
          <w:iCs/>
          <w:color w:val="5F6368"/>
          <w:lang w:val="fr-FR"/>
        </w:rPr>
        <w:t xml:space="preserve">Le mouvement est le suivant : voilà le système qu’on peut construire, voilà les choix qui restent ouverts à l’intérieur de ce système, voilà pourquoi il est difficile d’y arriver. Une règle la traverse — assiettes larges, taux bas, le moins de niches possible, et pas d’aide là où baisser un impôt suffit — et chaque proposition suit le même mode d’emploi : le principe, ce qu’on en attend, ce que font nos voisins, qui gagne et qui perd, comment y aller, et la réponse aux objections.</w:t>
      </w:r>
      <w:r>
        <w:rPr>
          <w:rStyle w:val="FootnoteReference"/>
        </w:rPr>
        <w:footnoteReference w:id="6"/>
      </w:r>
    </w:p>
    <w:p>
      <w:pPr>
        <w:pStyle w:val="Heading2"/>
      </w:pPr>
      <w:r>
        <w:rPr>
          <w:color w:val="C79100"/>
          <w:lang w:val="fr-FR"/>
        </w:rPr>
        <w:t xml:space="preserve">1.</w:t>
      </w:r>
      <w:r>
        <w:rPr>
          <w:lang w:val="fr-FR"/>
        </w:rPr>
        <w:t xml:space="preserve">  À quoi ressemblerait concrètement un système fiscal plus simple et plus efficace ?</w:t>
      </w:r>
    </w:p>
    <w:p>
      <w:pPr>
        <w:keepNext/>
        <w:spacing w:after="100"/>
      </w:pPr>
      <w:r>
        <w:rPr>
          <w:i/>
          <w:iCs/>
          <w:color w:val="5F6368"/>
          <w:lang w:val="fr-FR"/>
        </w:rPr>
        <w:t xml:space="preserve">Passer des principes aux instruments et montrer qu’une autre architecture est possible.</w:t>
      </w:r>
    </w:p>
    <w:p>
      <w:pPr>
        <w:pStyle w:val="ListParagraph"/>
        <w:numPr>
          <w:ilvl w:val="0"/>
          <w:numId w:val="2"/>
        </w:numPr>
      </w:pPr>
      <w:r>
        <w:rPr>
          <w:b/>
          <w:bCs/>
          <w:lang w:val="fr-FR"/>
        </w:rPr>
        <w:t xml:space="preserve">Rendre au travail sa promesse : des cotisations plus faibles, une TVA plus large.</w:t>
      </w:r>
      <w:r>
        <w:rPr>
          <w:lang w:val="fr-FR"/>
        </w:rPr>
        <w:t xml:space="preserve"> Réduire fortement les taux réduits de TVA ; lorsque leur suppression pénalise les ménages modestes, restituer directement le gain du côté des prestations sociales plutôt que par un taux réduit bénéficiant à tous. Utiliser ensuite une hausse de la TVA — la TVA dite « sociale » — pour financer une baisse des cotisations et réduire la taxation du travail.</w:t>
      </w:r>
      <w:r>
        <w:rPr>
          <w:rStyle w:val="FootnoteReference"/>
        </w:rPr>
        <w:footnoteReference w:id="7"/>
      </w:r>
    </w:p>
    <w:p>
      <w:pPr>
        <w:pStyle w:val="ListParagraph"/>
        <w:numPr>
          <w:ilvl w:val="0"/>
          <w:numId w:val="2"/>
        </w:numPr>
      </w:pPr>
      <w:r>
        <w:rPr>
          <w:b/>
          <w:bCs/>
          <w:lang w:val="fr-FR"/>
        </w:rPr>
        <w:t xml:space="preserve">Revenus : des assiettes larges et des taux plus faibles.</w:t>
      </w:r>
      <w:r>
        <w:rPr>
          <w:lang w:val="fr-FR"/>
        </w:rPr>
        <w:t xml:space="preserve"> À revenu égal, effort égal : qu’il vienne du travail, d’une pension ou d’un patrimoine, un même revenu doit contribuer de la même façon, d’où une CSG beaucoup plus uniforme entre revenus et statuts ; un IR débarrassé de l’essentiel de ses niches et abattements, permettant en contrepartie d’abaisser les taux, voire une fusion de ces deux impôts en un seul impôt sur le revenu progressif et payé par tous.</w:t>
      </w:r>
    </w:p>
    <w:p>
      <w:pPr>
        <w:pStyle w:val="ListParagraph"/>
        <w:numPr>
          <w:ilvl w:val="0"/>
          <w:numId w:val="2"/>
        </w:numPr>
      </w:pPr>
      <w:r>
        <w:rPr>
          <w:b/>
          <w:bCs/>
          <w:lang w:val="fr-FR"/>
        </w:rPr>
        <w:t xml:space="preserve">Entreprises : cesser de taxer avant le bénéfice.</w:t>
      </w:r>
      <w:r>
        <w:rPr>
          <w:lang w:val="fr-FR"/>
        </w:rPr>
        <w:t xml:space="preserve"> Supprimer la C3S ; refondre la CVAE pour qu’elle ne dépende plus du chiffre d’affaires, voire la rapprocher de l’IS ; réduire parallèlement les aides qui compensent ces prélèvements à travers un « zéro aide contre zéro impôt de production », crédits d’impôt et subventions sectorielles finançant la suppression. Sécuriser l’assiette de l’IS pour que les grands groupes paient le taux affiché ; l’opportunité d’un IS progressif fait débat entre les contributeurs (voir la dernière partie).</w:t>
      </w:r>
    </w:p>
    <w:p>
      <w:pPr>
        <w:pStyle w:val="ListParagraph"/>
        <w:numPr>
          <w:ilvl w:val="0"/>
          <w:numId w:val="2"/>
        </w:numPr>
      </w:pPr>
      <w:r>
        <w:rPr>
          <w:b/>
          <w:bCs/>
          <w:lang w:val="fr-FR"/>
        </w:rPr>
        <w:t xml:space="preserve">Capital : rechercher la neutralité et moins taxer son accumulation que sa transmission.</w:t>
      </w:r>
      <w:r>
        <w:rPr>
          <w:lang w:val="fr-FR"/>
        </w:rPr>
        <w:t xml:space="preserve"> D’une part, il s’agirait de rapprocher le traitement fiscal de placements comparables et limiter les avantages liés au choix d’une enveloppe plutôt qu’à la nature économique du revenu. D’autre part, refonder la fiscalité des transmissions, aujourd’hui complexe et vectrice d’inégalités (voir l’encadré).</w:t>
      </w:r>
    </w:p>
    <w:p>
      <w:pPr>
        <w:keepNext/>
        <w:pBdr>
          <w:left w:val="single" w:color="003399" w:sz="24" w:space="10"/>
        </w:pBdr>
        <w:shd w:fill="EEF2FA" w:color="auto" w:val="clear"/>
        <w:spacing w:after="60" w:before="160"/>
        <w:ind w:left="520" w:right="120"/>
      </w:pPr>
      <w:r>
        <w:rPr>
          <w:b/>
          <w:bCs/>
          <w:color w:val="003399"/>
          <w:lang w:val="fr-FR"/>
        </w:rPr>
        <w:t xml:space="preserve">Encadré : refonder la fiscalité des transmissions</w:t>
      </w:r>
    </w:p>
    <w:p>
      <w:pPr>
        <w:keepNext/>
        <w:pBdr>
          <w:left w:val="single" w:color="003399" w:sz="24" w:space="10"/>
        </w:pBdr>
        <w:shd w:fill="EEF2FA" w:color="auto" w:val="clear"/>
        <w:spacing w:after="60"/>
        <w:ind w:left="520" w:right="120"/>
      </w:pPr>
      <w:r>
        <w:rPr>
          <w:lang w:val="fr-FR"/>
        </w:rPr>
        <w:t xml:space="preserve">La fiscalité des transmissions pourrait s’organiser autour de quatre principes :</w:t>
      </w:r>
    </w:p>
    <w:p>
      <w:pPr>
        <w:keepNext/>
        <w:pBdr>
          <w:left w:val="single" w:color="003399" w:sz="24" w:space="10"/>
        </w:pBdr>
        <w:shd w:fill="EEF2FA" w:color="auto" w:val="clear"/>
        <w:spacing w:after="60"/>
        <w:ind w:left="520" w:right="120"/>
      </w:pPr>
      <w:r>
        <w:rPr>
          <w:color w:val="003399"/>
          <w:lang w:val="fr-FR"/>
        </w:rPr>
        <w:t xml:space="preserve">▪ </w:t>
      </w:r>
      <w:r>
        <w:rPr>
          <w:lang w:val="fr-FR"/>
        </w:rPr>
        <w:t xml:space="preserve">Un abattement unique, élevé, valable pour la vie entière, qui affranchisse l’immense majorité et le lui dise d’avance.</w:t>
      </w:r>
    </w:p>
    <w:p>
      <w:pPr>
        <w:keepNext/>
        <w:pBdr>
          <w:left w:val="single" w:color="003399" w:sz="24" w:space="10"/>
        </w:pBdr>
        <w:shd w:fill="EEF2FA" w:color="auto" w:val="clear"/>
        <w:spacing w:after="60"/>
        <w:ind w:left="520" w:right="120"/>
      </w:pPr>
      <w:r>
        <w:rPr>
          <w:color w:val="003399"/>
          <w:lang w:val="fr-FR"/>
        </w:rPr>
        <w:t xml:space="preserve">▪ </w:t>
      </w:r>
      <w:r>
        <w:rPr>
          <w:lang w:val="fr-FR"/>
        </w:rPr>
        <w:t xml:space="preserve">Un barème unique, plus faible mais effectif, appliqué au cumul reçu par chacun en contrepartie de la suppression des niches, et qui rende enfin sa liberté au geste de transmettre à qui l’on veut.</w:t>
      </w:r>
    </w:p>
    <w:p>
      <w:pPr>
        <w:keepNext/>
        <w:pBdr>
          <w:left w:val="single" w:color="003399" w:sz="24" w:space="10"/>
        </w:pBdr>
        <w:shd w:fill="EEF2FA" w:color="auto" w:val="clear"/>
        <w:spacing w:after="60"/>
        <w:ind w:left="520" w:right="120"/>
      </w:pPr>
      <w:r>
        <w:rPr>
          <w:color w:val="003399"/>
          <w:lang w:val="fr-FR"/>
        </w:rPr>
        <w:t xml:space="preserve">▪ </w:t>
      </w:r>
      <w:r>
        <w:rPr>
          <w:lang w:val="fr-FR"/>
        </w:rPr>
        <w:t xml:space="preserve">Des taux réduits pour les transmissions reçues tôt, afin d’orienter le capital vers l’âge où il féconde une vie.</w:t>
      </w:r>
    </w:p>
    <w:p>
      <w:pPr>
        <w:keepNext/>
        <w:pBdr>
          <w:left w:val="single" w:color="003399" w:sz="24" w:space="10"/>
        </w:pBdr>
        <w:shd w:fill="EEF2FA" w:color="auto" w:val="clear"/>
        <w:spacing w:after="60"/>
        <w:ind w:left="520" w:right="120"/>
      </w:pPr>
      <w:r>
        <w:rPr>
          <w:color w:val="003399"/>
          <w:lang w:val="fr-FR"/>
        </w:rPr>
        <w:t xml:space="preserve">▪ </w:t>
      </w:r>
      <w:r>
        <w:rPr>
          <w:lang w:val="fr-FR"/>
        </w:rPr>
        <w:t xml:space="preserve">Un seul régime dérogatoire pour les transmissions d’entreprise mais recentré sur le seul outil productif, plafonné et conditionné, à l’allemande pour protéger en priorité nos TPE et PME.</w:t>
      </w:r>
    </w:p>
    <w:p>
      <w:pPr>
        <w:pBdr>
          <w:left w:val="single" w:color="003399" w:sz="24" w:space="10"/>
        </w:pBdr>
        <w:shd w:fill="EEF2FA" w:color="auto" w:val="clear"/>
        <w:spacing w:after="160"/>
        <w:ind w:left="520" w:right="120"/>
      </w:pPr>
      <w:r>
        <w:rPr>
          <w:i/>
          <w:iCs/>
          <w:lang w:val="fr-FR"/>
        </w:rPr>
        <w:t xml:space="preserve">Une telle réforme reste difficile à conduire. Politiquement, l’imposition des successions est l’un des prélèvements les plus rejetés par l’opinion. Économiquement, elle se heurte aux stratégies d’anticipation (donations, démembrements de propriété), à la mobilité des patrimoines et aux difficultés d’évaluation et de liquidité lors des transmissions d’entreprise.</w:t>
      </w:r>
    </w:p>
    <w:p>
      <w:pPr>
        <w:pStyle w:val="ListParagraph"/>
        <w:numPr>
          <w:ilvl w:val="0"/>
          <w:numId w:val="2"/>
        </w:numPr>
      </w:pPr>
      <w:r>
        <w:rPr>
          <w:b/>
          <w:bCs/>
          <w:lang w:val="fr-FR"/>
        </w:rPr>
        <w:t xml:space="preserve">Externalités : assumer les taxes qui corrigent réellement un coût collectif.</w:t>
      </w:r>
      <w:r>
        <w:rPr>
          <w:lang w:val="fr-FR"/>
        </w:rPr>
        <w:t xml:space="preserve"> À commencer par la fiscalité carbone.</w:t>
      </w:r>
      <w:r>
        <w:rPr>
          <w:rStyle w:val="FootnoteReference"/>
        </w:rPr>
        <w:footnoteReference w:id="8"/>
      </w:r>
    </w:p>
    <w:p>
      <w:pPr>
        <w:pStyle w:val="ListParagraph"/>
        <w:numPr>
          <w:ilvl w:val="0"/>
          <w:numId w:val="2"/>
        </w:numPr>
      </w:pPr>
      <w:r>
        <w:rPr>
          <w:b/>
          <w:bCs/>
          <w:lang w:val="fr-FR"/>
        </w:rPr>
        <w:t xml:space="preserve">Boucler les comptes.</w:t>
      </w:r>
      <w:r>
        <w:rPr>
          <w:lang w:val="fr-FR"/>
        </w:rPr>
        <w:t xml:space="preserve"> Présenter pour chaque réforme ce qui est supprimé, ce qui est abaissé ou augmenté, son rendement et ses effets distributifs ; et pour l’ensemble, ce que paient le travail, la consommation, les entreprises et les transmissions avant et après, avec les gagnants et les perdants par niveau de vie et par âge.</w:t>
      </w:r>
    </w:p>
    <w:p>
      <w:pPr>
        <w:pStyle w:val="Heading2"/>
      </w:pPr>
      <w:r>
        <w:rPr>
          <w:color w:val="C79100"/>
          <w:lang w:val="fr-FR"/>
        </w:rPr>
        <w:t xml:space="preserve">2.</w:t>
      </w:r>
      <w:r>
        <w:rPr>
          <w:lang w:val="fr-FR"/>
        </w:rPr>
        <w:t xml:space="preserve">  Les grands arbitrages : jusqu’où déplacer la charge ?</w:t>
      </w:r>
    </w:p>
    <w:p>
      <w:pPr>
        <w:keepNext/>
        <w:spacing w:after="100"/>
      </w:pPr>
      <w:r>
        <w:rPr>
          <w:i/>
          <w:iCs/>
          <w:color w:val="5F6368"/>
          <w:lang w:val="fr-FR"/>
        </w:rPr>
        <w:t xml:space="preserve">Les principes économiques donnent une direction, mais ne tranchent pas tous les choix collectifs.</w:t>
      </w:r>
    </w:p>
    <w:p>
      <w:pPr>
        <w:pStyle w:val="ListParagraph"/>
        <w:numPr>
          <w:ilvl w:val="0"/>
          <w:numId w:val="2"/>
        </w:numPr>
      </w:pPr>
      <w:r>
        <w:rPr>
          <w:b/>
          <w:bCs/>
          <w:lang w:val="fr-FR"/>
        </w:rPr>
        <w:t xml:space="preserve">Jusqu’où déplacer la taxation du travail vers la consommation ?</w:t>
      </w:r>
      <w:r>
        <w:rPr>
          <w:lang w:val="fr-FR"/>
        </w:rPr>
        <w:t xml:space="preserve"> Discuter l’ampleur souhaitable de la TVA dite sociale et de la baisse correspondante des cotisations. Ce qu’on en attend : un travail moins taxé, des exportations favorisées, des importations et des retraités mis à contribution. Les précédents : le Danemark à la fin des années 1980, l’Allemagne en 2007, la tentative française de 2012, abrogée. Les objections : l’inflation, un choc ponctuel plutôt qu’une spirale ; les retraités modestes, protégés par les minima ; la fraude, réduite par la facturation électronique.</w:t>
      </w:r>
    </w:p>
    <w:p>
      <w:pPr>
        <w:pStyle w:val="ListParagraph"/>
        <w:numPr>
          <w:ilvl w:val="0"/>
          <w:numId w:val="2"/>
        </w:numPr>
      </w:pPr>
      <w:r>
        <w:rPr>
          <w:b/>
          <w:bCs/>
          <w:lang w:val="fr-FR"/>
        </w:rPr>
        <w:t xml:space="preserve">Quelle place donner aux transmissions ?</w:t>
      </w:r>
      <w:r>
        <w:rPr>
          <w:lang w:val="fr-FR"/>
        </w:rPr>
        <w:t xml:space="preserve"> Mettre face à face les arguments en faveur d’une taxation accrue des héritages et ceux qui plaident pour la modération. D’un côté, la naissance pèse de nouveau plus que le travail dans la constitution des patrimoines (CAE, « Repenser l’héritage », 2021) ; de l’autre, c’est l’impôt le plus rejeté par l’opinion.</w:t>
      </w:r>
    </w:p>
    <w:p>
      <w:pPr>
        <w:pStyle w:val="ListParagraph"/>
        <w:numPr>
          <w:ilvl w:val="0"/>
          <w:numId w:val="2"/>
        </w:numPr>
      </w:pPr>
      <w:r>
        <w:rPr>
          <w:b/>
          <w:bCs/>
          <w:lang w:val="fr-FR"/>
        </w:rPr>
        <w:t xml:space="preserve">Comment taxer le capital sans décourager l’épargne et le risque ?</w:t>
      </w:r>
      <w:r>
        <w:rPr>
          <w:lang w:val="fr-FR"/>
        </w:rPr>
        <w:t xml:space="preserve"> Distinguer rendement normal, rente, plus-value et prise de risque ; arbitrer le degré de neutralité souhaitable entre supports, avec un objectif : orienter l’épargne longue vers les fonds propres des entreprises plutôt que soutenir l’investissement par le guichet (rapport Draghi).</w:t>
      </w:r>
    </w:p>
    <w:p>
      <w:pPr>
        <w:pStyle w:val="Heading2"/>
      </w:pPr>
      <w:r>
        <w:rPr>
          <w:color w:val="C79100"/>
          <w:lang w:val="fr-FR"/>
        </w:rPr>
        <w:t xml:space="preserve">3.</w:t>
      </w:r>
      <w:r>
        <w:rPr>
          <w:lang w:val="fr-FR"/>
        </w:rPr>
        <w:t xml:space="preserve">  Passer du système actuel au système cible</w:t>
      </w:r>
    </w:p>
    <w:p>
      <w:pPr>
        <w:pStyle w:val="ListParagraph"/>
        <w:numPr>
          <w:ilvl w:val="0"/>
          <w:numId w:val="2"/>
        </w:numPr>
      </w:pPr>
      <w:r>
        <w:rPr>
          <w:b/>
          <w:bCs/>
          <w:lang w:val="fr-FR"/>
        </w:rPr>
        <w:t xml:space="preserve">Réformer par paquets cohérents.</w:t>
      </w:r>
      <w:r>
        <w:rPr>
          <w:lang w:val="fr-FR"/>
        </w:rPr>
        <w:t xml:space="preserve"> Une suppression de niche doit être accompagnée de la baisse de taux qu’elle finance ; une hausse de TVA, de la baisse de cotisations correspondante.</w:t>
      </w:r>
    </w:p>
    <w:p>
      <w:pPr>
        <w:pStyle w:val="ListParagraph"/>
        <w:numPr>
          <w:ilvl w:val="0"/>
          <w:numId w:val="2"/>
        </w:numPr>
      </w:pPr>
      <w:r>
        <w:rPr>
          <w:b/>
          <w:bCs/>
          <w:lang w:val="fr-FR"/>
        </w:rPr>
        <w:t xml:space="preserve">Préserver le rendement et limiter les ruptures distributives.</w:t>
      </w:r>
      <w:r>
        <w:rPr>
          <w:lang w:val="fr-FR"/>
        </w:rPr>
        <w:t xml:space="preserve"> Compenser directement les ménages réellement perdants plutôt que recréer des exceptions fiscales.</w:t>
      </w:r>
    </w:p>
    <w:p>
      <w:pPr>
        <w:pStyle w:val="ListParagraph"/>
        <w:numPr>
          <w:ilvl w:val="0"/>
          <w:numId w:val="2"/>
        </w:numPr>
      </w:pPr>
      <w:r>
        <w:rPr>
          <w:b/>
          <w:bCs/>
          <w:lang w:val="fr-FR"/>
        </w:rPr>
        <w:t xml:space="preserve">Décider immédiatement la cible, mais étaler certaines transitions.</w:t>
      </w:r>
      <w:r>
        <w:rPr>
          <w:lang w:val="fr-FR"/>
        </w:rPr>
        <w:t xml:space="preserve"> Les droits acquis et les situations constituées peuvent nécessiter une extinction progressive.</w:t>
      </w:r>
      <w:r>
        <w:rPr>
          <w:rStyle w:val="FootnoteReference"/>
        </w:rPr>
        <w:footnoteReference w:id="9"/>
      </w:r>
    </w:p>
    <w:p>
      <w:pPr>
        <w:pStyle w:val="ListParagraph"/>
        <w:numPr>
          <w:ilvl w:val="0"/>
          <w:numId w:val="2"/>
        </w:numPr>
      </w:pPr>
      <w:r>
        <w:rPr>
          <w:b/>
          <w:bCs/>
          <w:lang w:val="fr-FR"/>
        </w:rPr>
        <w:t xml:space="preserve">Rendre la réforme crédible.</w:t>
      </w:r>
      <w:r>
        <w:rPr>
          <w:lang w:val="fr-FR"/>
        </w:rPr>
        <w:t xml:space="preserve"> Hausses, baisses et compensations doivent être votées ensemble pour éviter que seules les premières soient effectivement mises en œuvre : une réforme d’ensemble, aux éléments indissociables, qui appelle un mandat clair.</w:t>
      </w:r>
    </w:p>
    <w:p>
      <w:pPr>
        <w:pStyle w:val="ListParagraph"/>
        <w:numPr>
          <w:ilvl w:val="0"/>
          <w:numId w:val="2"/>
        </w:numPr>
      </w:pPr>
      <w:r>
        <w:rPr>
          <w:b/>
          <w:bCs/>
          <w:lang w:val="fr-FR"/>
        </w:rPr>
        <w:t xml:space="preserve">Un calendrier en plusieurs temps.</w:t>
      </w:r>
      <w:r>
        <w:rPr>
          <w:lang w:val="fr-FR"/>
        </w:rPr>
        <w:t xml:space="preserve"> Commencer par ce qui se finance de soi-même — le troc aides contre impôts de production, la TVA sociale — avant les réformes dont le rendement est plus long à venir.</w:t>
      </w:r>
    </w:p>
    <w:p>
      <w:pPr>
        <w:pStyle w:val="Heading1"/>
      </w:pPr>
      <w:r>
        <w:rPr>
          <w:color w:val="C79100"/>
          <w:spacing w:val="30"/>
          <w:sz w:val="17"/>
          <w:szCs w:val="17"/>
          <w:lang w:val="fr-FR"/>
        </w:rPr>
        <w:t xml:space="preserve">POUR LA DISCUSSION</w:t>
      </w:r>
      <w:r>
        <w:rPr>
          <w:lang w:val="fr-FR"/>
        </w:rPr>
        <w:br/>
        <w:t xml:space="preserve">Éléments à trancher avec la fondation</w:t>
      </w:r>
    </w:p>
    <w:p>
      <w:pPr>
        <w:keepNext/>
        <w:spacing w:after="100"/>
      </w:pPr>
      <w:r>
        <w:rPr>
          <w:i/>
          <w:iCs/>
          <w:color w:val="5F6368"/>
          <w:lang w:val="fr-FR"/>
        </w:rPr>
        <w:t xml:space="preserve">Les points sur lesquels deux options restent ouvertes. Pour chacun, l’option retenue dans ce plan, puis l’alternative.</w:t>
      </w:r>
    </w:p>
    <w:p>
      <w:pPr>
        <w:pStyle w:val="ListParagraph"/>
        <w:numPr>
          <w:ilvl w:val="0"/>
          <w:numId w:val="2"/>
        </w:numPr>
      </w:pPr>
      <w:r>
        <w:rPr>
          <w:b/>
          <w:bCs/>
          <w:lang w:val="fr-FR"/>
        </w:rPr>
        <w:t xml:space="preserve">Les taux réduits de TVA.</w:t>
      </w:r>
      <w:r>
        <w:rPr>
          <w:lang w:val="fr-FR"/>
        </w:rPr>
        <w:t xml:space="preserve"> Soit les réduire fortement en compensant les ménages modestes par les prestations ; soit les préserver sur les produits de première nécessité.</w:t>
      </w:r>
    </w:p>
    <w:p>
      <w:pPr>
        <w:pStyle w:val="ListParagraph"/>
        <w:numPr>
          <w:ilvl w:val="0"/>
          <w:numId w:val="2"/>
        </w:numPr>
      </w:pPr>
      <w:r>
        <w:rPr>
          <w:b/>
          <w:bCs/>
          <w:lang w:val="fr-FR"/>
        </w:rPr>
        <w:t xml:space="preserve">La TVA sociale : quel prélèvement baisser ?</w:t>
      </w:r>
      <w:r>
        <w:rPr>
          <w:lang w:val="fr-FR"/>
        </w:rPr>
        <w:t xml:space="preserve"> Soit les cotisations patronales, ce qui réduit directement le coût du travail ; soit les prélèvements salariés — CSG d’activité ou cotisations vieillesse —, ce qui relève le salaire net sans baisser directement le coût du travail.</w:t>
      </w:r>
    </w:p>
    <w:p>
      <w:pPr>
        <w:pStyle w:val="ListParagraph"/>
        <w:numPr>
          <w:ilvl w:val="0"/>
          <w:numId w:val="2"/>
        </w:numPr>
      </w:pPr>
      <w:r>
        <w:rPr>
          <w:b/>
          <w:bCs/>
          <w:lang w:val="fr-FR"/>
        </w:rPr>
        <w:t xml:space="preserve">La transmission.</w:t>
      </w:r>
      <w:r>
        <w:rPr>
          <w:lang w:val="fr-FR"/>
        </w:rPr>
        <w:t xml:space="preserve"> Soit exposer les arguments pour et contre sans trancher ; soit en faire un axe du rapport, avec un impôt sur l’héritier calculé sur tout ce que chacun reçoit au cours de sa vie (abattement élevé exonérant l’immense majorité, barème unique quel que soit le lien de parenté, taux réduit pour ce qu’on reçoit jeune, sur le modèle irlandais), la plus-value constatée au décès et payée à la revente, et la fermeture des portes de sortie (pacte Dutreil plafonné à l’allemande, exit tax durcie, registre des transmissions). Ce second choix suppose de corriger d’abord les inégalités qui tiennent à la naissance.</w:t>
      </w:r>
    </w:p>
    <w:p>
      <w:pPr>
        <w:pStyle w:val="ListParagraph"/>
        <w:numPr>
          <w:ilvl w:val="0"/>
          <w:numId w:val="2"/>
        </w:numPr>
      </w:pPr>
      <w:r>
        <w:rPr>
          <w:b/>
          <w:bCs/>
          <w:lang w:val="fr-FR"/>
        </w:rPr>
        <w:t xml:space="preserve">Les impôts de production.</w:t>
      </w:r>
      <w:r>
        <w:rPr>
          <w:lang w:val="fr-FR"/>
        </w:rPr>
        <w:t xml:space="preserve"> Soit supprimer la C3S et refondre la CVAE ; soit supprimer la C3S, la CVAE et la CFE, en rendant aux collectivités une ressource propre par une fiscalité foncière modernisée plutôt que par une dotation.</w:t>
      </w:r>
    </w:p>
    <w:p>
      <w:pPr>
        <w:pStyle w:val="ListParagraph"/>
        <w:numPr>
          <w:ilvl w:val="0"/>
          <w:numId w:val="2"/>
        </w:numPr>
      </w:pPr>
      <w:r>
        <w:rPr>
          <w:b/>
          <w:bCs/>
          <w:lang w:val="fr-FR"/>
        </w:rPr>
        <w:t xml:space="preserve">L’impôt sur les sociétés.</w:t>
      </w:r>
      <w:r>
        <w:rPr>
          <w:lang w:val="fr-FR"/>
        </w:rPr>
        <w:t xml:space="preserve"> Soit s’en tenir à l’assiette, pour que le taux affiché soit le taux payé ; soit rendre l’IS progressif — léger pour les petites entreprises, plus lourd pour les très grands bénéfices, apprécié au niveau du groupe pour éviter le fractionnement.</w:t>
      </w:r>
    </w:p>
    <w:p>
      <w:pPr>
        <w:pStyle w:val="ListParagraph"/>
        <w:numPr>
          <w:ilvl w:val="0"/>
          <w:numId w:val="2"/>
        </w:numPr>
      </w:pPr>
      <w:r>
        <w:rPr>
          <w:b/>
          <w:bCs/>
          <w:lang w:val="fr-FR"/>
        </w:rPr>
        <w:t xml:space="preserve">Les plus-values.</w:t>
      </w:r>
      <w:r>
        <w:rPr>
          <w:lang w:val="fr-FR"/>
        </w:rPr>
        <w:t xml:space="preserve"> Soit rechercher la neutralité entre supports ; soit alléger leur imposition pour récompenser la prise de risque, voire les exonérer après une longue détention.</w:t>
      </w:r>
    </w:p>
    <w:p>
      <w:pPr>
        <w:pStyle w:val="ListParagraph"/>
        <w:numPr>
          <w:ilvl w:val="0"/>
          <w:numId w:val="2"/>
        </w:numPr>
      </w:pPr>
      <w:r>
        <w:rPr>
          <w:b/>
          <w:bCs/>
          <w:lang w:val="fr-FR"/>
        </w:rPr>
        <w:t xml:space="preserve">Les retraites.</w:t>
      </w:r>
      <w:r>
        <w:rPr>
          <w:lang w:val="fr-FR"/>
        </w:rPr>
        <w:t xml:space="preserve"> Soit s’en tenir à leur fiscalité ; soit traiter aussi le système : départ à 65 ans et 45 années de cotisation, un étage de capitalisation pour tous, et une architecture où la solidarité — santé de base, famille, minima, autonomie — est financée par l’impôt, la retraite et le chômage par la cotisation.</w:t>
      </w:r>
    </w:p>
    <w:p>
      <w:pPr>
        <w:pStyle w:val="ListParagraph"/>
        <w:numPr>
          <w:ilvl w:val="0"/>
          <w:numId w:val="2"/>
        </w:numPr>
      </w:pPr>
      <w:r>
        <w:rPr>
          <w:b/>
          <w:bCs/>
          <w:lang w:val="fr-FR"/>
        </w:rPr>
        <w:t xml:space="preserve">Le titre.</w:t>
      </w:r>
      <w:r>
        <w:rPr>
          <w:lang w:val="fr-FR"/>
        </w:rPr>
        <w:t xml:space="preserve"> Soit « Un système fiscal pour la France au XXIe siècle » ; soit « Taxer ce qui se transmet, libérer ce qui se crée », « Refonder l’impôt » ou « L’impôt de la puissance ».</w:t>
      </w:r>
    </w:p>
    <w:p>
      <w:pPr>
        <w:pStyle w:val="ListParagraph"/>
        <w:numPr>
          <w:ilvl w:val="0"/>
          <w:numId w:val="2"/>
        </w:numPr>
      </w:pPr>
      <w:r>
        <w:rPr>
          <w:b/>
          <w:bCs/>
          <w:lang w:val="fr-FR"/>
        </w:rPr>
        <w:t xml:space="preserve">L’efficience de la dépense publique.</w:t>
      </w:r>
      <w:r>
        <w:rPr>
          <w:lang w:val="fr-FR"/>
        </w:rPr>
        <w:t xml:space="preserve"> Le basculement fiscal doit s’accompagner d’une culture de l’efficience, elle-même susceptible de renforcer l’adhésion à l’impôt.</w:t>
      </w:r>
    </w:p>
    <w:sectPr>
      <w:headerReference w:type="default" r:id="rId6"/>
      <w:headerReference w:type="first" r:id="rId7"/>
      <w:footerReference w:type="default" r:id="rId8"/>
      <w:footerReference w:type="first" r:id="rId9"/>
      <w:pgSz w:w="11906" w:h="16838" w:orient="portrait"/>
      <w:pgMar w:top="1250" w:right="1320" w:bottom="1250" w:left="1320" w:header="620" w:footer="6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7"/>
          <w:szCs w:val="17"/>
          <w:lang w:val="fr-FR"/>
        </w:rPr>
        <w:t xml:space="preserve">Quatre principes directeurs d’une fiscalité efficace pourraient être développés ici. La neutralité : un bon impôt rapporte sans distordre excessivement les comportements, à l’image de la TVA conçue par Maurice Lauré en 1954 pour taxer la valeur ajoutée plutôt que les facteurs de production ; plus généralement, mieux vaut taxer l’aval et les résultats que les facteurs eux-mêmes. La simplicité : peu de niches, une assiette large et un taux modéré. La prévisibilité : une fiscalité stable, ajustée au plus une fois par législature, est mieux acceptée et donc plus efficace. La coordination : un impôt conçu en cohérence avec nos partenaires européens, voire internationaux, limite l’évitement, sécurise le rendement et réduit la concurrence fiscale.</w:t>
      </w:r>
    </w:p>
  </w:footnote>
  <w:footnote w:id="2">
    <w:p>
      <w:r>
        <w:rPr>
          <w:rStyle w:val="FootnoteReference"/>
        </w:rPr>
        <w:footnoteRef/>
      </w:r>
      <w:r>
        <w:rPr>
          <w:sz w:val="17"/>
          <w:szCs w:val="17"/>
          <w:lang w:val="fr-FR"/>
        </w:rPr>
        <w:t xml:space="preserve">Le système fiscal français pourrait être décrit plus sévèrement, comme essoufflé ou en voie de délitement : faute de simplicité, il cesse d’être juste ; il est fortement distorsif et désincitatif ; son rendement est élevé, mais ne suffit pas à couvrir la dépense.</w:t>
      </w:r>
    </w:p>
  </w:footnote>
  <w:footnote w:id="3">
    <w:p>
      <w:r>
        <w:rPr>
          <w:rStyle w:val="FootnoteReference"/>
        </w:rPr>
        <w:footnoteRef/>
      </w:r>
      <w:r>
        <w:rPr>
          <w:sz w:val="17"/>
          <w:szCs w:val="17"/>
          <w:lang w:val="fr-FR"/>
        </w:rPr>
        <w:t xml:space="preserve">Ou à financer par l’endettement, ce qui revient au même aux intérêts près, mais reporte l’arbitrage dans le temps.</w:t>
      </w:r>
    </w:p>
  </w:footnote>
  <w:footnote w:id="4">
    <w:p>
      <w:r>
        <w:rPr>
          <w:rStyle w:val="FootnoteReference"/>
        </w:rPr>
        <w:footnoteRef/>
      </w:r>
      <w:r>
        <w:rPr>
          <w:sz w:val="17"/>
          <w:szCs w:val="17"/>
          <w:lang w:val="fr-FR"/>
        </w:rPr>
        <w:t xml:space="preserve">Deux tiers des Français jugent trop élevé le montant des impôts et taxes qu’ils paient, alors que moins d’un sur trois est satisfait de la qualité des services publics (Ipsos, mai 2023). 78 % jugent le niveau d’imposition trop élevé, et autant les cotisations sociales ; mais pour leur propre situation, 61 % estiment payer trop d’impôts, 36 % un bon niveau et 3 % trop peu, et 79 % voient dans le paiement des impôts et cotisations un acte citoyen (baromètre des prélèvements fiscaux et sociaux du CPO, novembre 2025). 59 % donnent la priorité à la baisse des impôts sur l’amélioration des services publics (baromètre Delouvrier, février 2026). 83 % jugent le système fiscal incompréhensible (BVA, 2016).</w:t>
      </w:r>
    </w:p>
  </w:footnote>
  <w:footnote w:id="5">
    <w:p>
      <w:r>
        <w:rPr>
          <w:rStyle w:val="FootnoteReference"/>
        </w:rPr>
        <w:footnoteRef/>
      </w:r>
      <w:r>
        <w:rPr>
          <w:sz w:val="17"/>
          <w:szCs w:val="17"/>
          <w:lang w:val="fr-FR"/>
        </w:rPr>
        <w:t xml:space="preserve">Deux basculements pourraient être affichés plus nettement dans cette partie : de l’inactivité vers l’activité, et de la rente vers le risque et le travail.</w:t>
      </w:r>
    </w:p>
  </w:footnote>
  <w:footnote w:id="6">
    <w:p>
      <w:r>
        <w:rPr>
          <w:rStyle w:val="FootnoteReference"/>
        </w:rPr>
        <w:footnoteRef/>
      </w:r>
      <w:r>
        <w:rPr>
          <w:sz w:val="17"/>
          <w:szCs w:val="17"/>
          <w:lang w:val="fr-FR"/>
        </w:rPr>
        <w:t xml:space="preserve">Le constat est celui d’un modèle essoufflé : complexe, mal compris, déséquilibré face à la croissance des dépenses, alors qu’il est issu de choix autrefois jugés modernes et performants. D’où l’idée de le repenser entièrement, en s’affranchissant des contraintes politiques et parlementaires du moment, pour partir du système idéal et simplifié le plus adapté à notre temps.</w:t>
      </w:r>
    </w:p>
  </w:footnote>
  <w:footnote w:id="7">
    <w:p>
      <w:r>
        <w:rPr>
          <w:rStyle w:val="FootnoteReference"/>
        </w:rPr>
        <w:footnoteRef/>
      </w:r>
      <w:r>
        <w:rPr>
          <w:sz w:val="17"/>
          <w:szCs w:val="17"/>
          <w:lang w:val="fr-FR"/>
        </w:rPr>
        <w:t xml:space="preserve">Question à discuter : ce basculement revient-il à faire passer la protection sociale d’un modèle bismarckien, financé par les cotisations, à un modèle beveridgien, financé par l’impôt ?</w:t>
      </w:r>
    </w:p>
  </w:footnote>
  <w:footnote w:id="8">
    <w:p>
      <w:r>
        <w:rPr>
          <w:rStyle w:val="FootnoteReference"/>
        </w:rPr>
        <w:footnoteRef/>
      </w:r>
      <w:r>
        <w:rPr>
          <w:sz w:val="17"/>
          <w:szCs w:val="17"/>
          <w:lang w:val="fr-FR"/>
        </w:rPr>
        <w:t xml:space="preserve">La liste pourrait inclure le tabac, le sucre et d’autres consommations nocives : ces taxes corrigent un coût collectif et allègent aussi, à terme, les dépenses de santé, voire améliorent la productivité.</w:t>
      </w:r>
    </w:p>
  </w:footnote>
  <w:footnote w:id="9">
    <w:p>
      <w:r>
        <w:rPr>
          <w:rStyle w:val="FootnoteReference"/>
        </w:rPr>
        <w:footnoteRef/>
      </w:r>
      <w:r>
        <w:rPr>
          <w:sz w:val="17"/>
          <w:szCs w:val="17"/>
          <w:lang w:val="fr-FR"/>
        </w:rPr>
        <w:t xml:space="preserve">Faut-il aller jusqu’à une clause du grand-père, les règles nouvelles ne s’appliquant qu’aux situations nées après la réforme ? Le basculement s’étalerait alors sur une ou deux générations.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A" w:sz="4" w:space="4"/>
      </w:pBdr>
    </w:pPr>
    <w:r>
      <w:rPr>
        <w:i/>
        <w:iCs/>
        <w:color w:val="5F6368"/>
        <w:sz w:val="16"/>
        <w:szCs w:val="16"/>
        <w:lang w:val="fr-FR"/>
      </w:rPr>
      <w:t xml:space="preserve">Un système fiscal pour la France au </w:t>
    </w:r>
    <w:r>
      <w:rPr>
        <w:i/>
        <w:iCs/>
        <w:color w:val="5F6368"/>
        <w:sz w:val="16"/>
        <w:szCs w:val="16"/>
        <w:lang w:val="fr-FR"/>
      </w:rPr>
      <w:t xml:space="preserve">XXI</w:t>
    </w:r>
    <w:r>
      <w:rPr>
        <w:i/>
        <w:iCs/>
        <w:color w:val="5F6368"/>
        <w:sz w:val="16"/>
        <w:szCs w:val="16"/>
        <w:vertAlign w:val="superscript"/>
        <w:lang w:val="fr-FR"/>
      </w:rPr>
      <w:t xml:space="preserve">e</w:t>
    </w:r>
    <w:r>
      <w:rPr>
        <w:i/>
        <w:iCs/>
        <w:color w:val="5F6368"/>
        <w:sz w:val="16"/>
        <w:szCs w:val="16"/>
        <w:lang w:val="fr-FR"/>
      </w:rPr>
      <w:t xml:space="preserve"> siècle</w:t>
    </w:r>
    <w:r>
      <w:rPr>
        <w:i/>
        <w:iCs/>
        <w:color w:val="5F6368"/>
        <w:sz w:val="16"/>
        <w:szCs w:val="16"/>
        <w:lang w:val="fr-FR"/>
      </w:rPr>
      <w:t xml:space="preserve"> — proposition de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90"/>
        <w:ind w:left="400" w:hanging="260"/>
      </w:pPr>
      <w:rPr>
        <w:color w:val="0033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9"/>
        <w:sz w:val="21"/>
        <w:szCs w:val="21"/>
        <w:lang w:val="fr-FR"/>
      </w:rPr>
    </w:rPrDefault>
    <w:pPrDefault>
      <w:pPr>
        <w:spacing w:after="8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3EA" w:sz="6" w:space="6"/>
      </w:pBdr>
      <w:spacing w:after="200" w:before="440" w:line="264" w:lineRule="auto"/>
      <w:outlineLvl w:val="0"/>
    </w:pPr>
    <w:rPr>
      <w:rFonts w:ascii="Cambria" w:cs="Cambria" w:eastAsia="Cambria" w:hAnsi="Cambria"/>
      <w:b/>
      <w:bCs/>
      <w:color w:val="003399"/>
      <w:sz w:val="30"/>
      <w:szCs w:val="30"/>
    </w:rPr>
  </w:style>
  <w:style w:type="paragraph" w:styleId="Heading2">
    <w:name w:val="Heading 2"/>
    <w:basedOn w:val="Normal"/>
    <w:next w:val="Normal"/>
    <w:qFormat/>
    <w:pPr>
      <w:keepNext/>
      <w:spacing w:after="80" w:before="280"/>
      <w:outlineLvl w:val="1"/>
    </w:pPr>
    <w:rPr>
      <w:rFonts w:ascii="Cambria" w:cs="Cambria" w:eastAsia="Cambria" w:hAnsi="Cambria"/>
      <w:b/>
      <w:bCs/>
      <w:color w:val="003399"/>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système fiscal pour la France au XXIe siècle, rapport commun</dc:title>
  <dc:creator>Colin Baget</dc:creator>
  <cp:lastModifiedBy>Colin Baget</cp:lastModifiedBy>
  <cp:revision>1</cp:revision>
  <dcterms:created xsi:type="dcterms:W3CDTF">2026-10-08T16:27:12.760Z</dcterms:created>
  <dcterms:modified xsi:type="dcterms:W3CDTF">2026-10-08T16:27:12.760Z</dcterms:modified>
</cp:coreProperties>
</file>

<file path=docProps/custom.xml><?xml version="1.0" encoding="utf-8"?>
<Properties xmlns="http://schemas.openxmlformats.org/officeDocument/2006/custom-properties" xmlns:vt="http://schemas.openxmlformats.org/officeDocument/2006/docPropsVTypes"/>
</file>