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125f5f9f34f765f22d14979d82a34e84e30de0"/>
      <w:r>
        <w:t xml:space="preserve">대규모 SaaS 플랫폼 아키텍처: 계층적 브랜드 관리 및 지능형 기능 제어 시스템 설계 보고서</w:t>
      </w:r>
      <w:bookmarkEnd w:id="20"/>
    </w:p>
    <w:p>
      <w:pPr>
        <w:pStyle w:val="FirstParagraph"/>
      </w:pPr>
      <w:r>
        <w:rPr>
          <w:b/>
        </w:rPr>
        <w:t xml:space="preserve">브랜드오더 씨엔티테크 슈퍼어드민</w:t>
      </w:r>
      <w:r>
        <w:t xml:space="preserve"> </w:t>
      </w:r>
      <w:r>
        <w:t xml:space="preserve">작성일: 2025년 3월 5일</w:t>
      </w:r>
    </w:p>
    <w:p>
      <w:r>
        <w:pict>
          <v:rect style="width:0;height:1.5pt" o:hralign="center" o:hrstd="t" o:hr="t"/>
        </w:pict>
      </w:r>
    </w:p>
    <w:p>
      <w:pPr>
        <w:pStyle w:val="Heading2"/>
      </w:pPr>
      <w:bookmarkStart w:id="21" w:name="X3fb1ce5355ba408b3e72d18231d67f5d2c31f96"/>
      <w:r>
        <w:t xml:space="preserve">대규모 SaaS 플랫폼 전략 아키텍처: 계층적 브랜드 거버넌스 및 지능형 비즈니스 제어 시스템</w:t>
      </w:r>
      <w:bookmarkEnd w:id="21"/>
    </w:p>
    <w:p>
      <w:pPr>
        <w:pStyle w:val="FirstParagraph"/>
      </w:pPr>
      <w:r>
        <w:t xml:space="preserve">현대 비즈니스 환경에서 SaaS 플랫폼의 성공은 단순한 기능 제공을 넘어, 수많은 브랜드 파트너에게 독립적인 비즈니스 자율성을 부여하면서도 플랫폼 차원의 통합된 운영 가시성을 확보하는 데 있다. 본 보고서는 플랫폼 운영자(슈퍼어드민)가 전체 생태계를 체계적으로 관리하고, 각 브랜드가 성장에 맞춰 유연하게 기능을 확장할 수 있는</w:t>
      </w:r>
      <w:r>
        <w:t xml:space="preserve"> </w:t>
      </w:r>
      <w:r>
        <w:t xml:space="preserve">‘</w:t>
      </w:r>
      <w:r>
        <w:t xml:space="preserve">비즈니스 민첩성</w:t>
      </w:r>
      <w:r>
        <w:t xml:space="preserve">’</w:t>
      </w:r>
      <w:r>
        <w:t xml:space="preserve"> </w:t>
      </w:r>
      <w:r>
        <w:t xml:space="preserve">중심의 아키텍처 설계 전략을 제안한다.</w:t>
      </w:r>
    </w:p>
    <w:p>
      <w:pPr>
        <w:pStyle w:val="Heading3"/>
      </w:pPr>
      <w:bookmarkStart w:id="22" w:name="플랫폼-거버넌스-및-계층적-비즈니스-운영-모델"/>
      <w:r>
        <w:t xml:space="preserve">1. 플랫폼 거버넌스 및 계층적 비즈니스 운영 모델</w:t>
      </w:r>
      <w:bookmarkEnd w:id="22"/>
    </w:p>
    <w:p>
      <w:pPr>
        <w:pStyle w:val="FirstParagraph"/>
      </w:pPr>
      <w:r>
        <w:t xml:space="preserve">본 플랫폼은</w:t>
      </w:r>
      <w:r>
        <w:t xml:space="preserve"> </w:t>
      </w:r>
      <w:r>
        <w:rPr>
          <w:b/>
        </w:rPr>
        <w:t xml:space="preserve">‘</w:t>
      </w:r>
      <w:r>
        <w:rPr>
          <w:b/>
        </w:rPr>
        <w:t xml:space="preserve">중앙 통제와 브랜드 자율성</w:t>
      </w:r>
      <w:r>
        <w:rPr>
          <w:b/>
        </w:rPr>
        <w:t xml:space="preserve">’</w:t>
      </w:r>
      <w:r>
        <w:t xml:space="preserve">의 조화를 목표로 3단계 거버넌스 계층을 구축한다.</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운영 계층</w:t>
            </w:r>
          </w:p>
        </w:tc>
        <w:tc>
          <w:tcPr>
            <w:tcBorders>
              <w:bottom w:val="single"/>
            </w:tcBorders>
            <w:vAlign w:val="bottom"/>
          </w:tcPr>
          <w:p>
            <w:pPr>
              <w:pStyle w:val="Compact"/>
              <w:jc w:val="left"/>
            </w:pPr>
            <w:r>
              <w:t xml:space="preserve">관리 주체</w:t>
            </w:r>
          </w:p>
        </w:tc>
        <w:tc>
          <w:tcPr>
            <w:tcBorders>
              <w:bottom w:val="single"/>
            </w:tcBorders>
            <w:vAlign w:val="bottom"/>
          </w:tcPr>
          <w:p>
            <w:pPr>
              <w:pStyle w:val="Compact"/>
              <w:jc w:val="left"/>
            </w:pPr>
            <w:r>
              <w:t xml:space="preserve">핵심 비즈니스 전략 및 제어권</w:t>
            </w:r>
          </w:p>
        </w:tc>
        <w:tc>
          <w:tcPr>
            <w:tcBorders>
              <w:bottom w:val="single"/>
            </w:tcBorders>
            <w:vAlign w:val="bottom"/>
          </w:tcPr>
          <w:p>
            <w:pPr>
              <w:pStyle w:val="Compact"/>
              <w:jc w:val="left"/>
            </w:pPr>
            <w:r>
              <w:t xml:space="preserve">운영 범위 및 데이터 가시성</w:t>
            </w:r>
          </w:p>
        </w:tc>
      </w:tr>
      <w:tr>
        <w:tc>
          <w:p>
            <w:pPr>
              <w:pStyle w:val="Compact"/>
              <w:jc w:val="left"/>
            </w:pPr>
            <w:r>
              <w:rPr>
                <w:b/>
              </w:rPr>
              <w:t xml:space="preserve">플랫폼 센터</w:t>
            </w:r>
            <w:r>
              <w:t xml:space="preserve"> </w:t>
            </w:r>
            <w:r>
              <w:t xml:space="preserve">(슈퍼어드민)</w:t>
            </w:r>
          </w:p>
        </w:tc>
        <w:tc>
          <w:p>
            <w:pPr>
              <w:pStyle w:val="Compact"/>
              <w:jc w:val="left"/>
            </w:pPr>
            <w:r>
              <w:t xml:space="preserve">플랫폼 운영사</w:t>
            </w:r>
          </w:p>
        </w:tc>
        <w:tc>
          <w:p>
            <w:pPr>
              <w:pStyle w:val="Compact"/>
              <w:jc w:val="left"/>
            </w:pPr>
            <w:r>
              <w:t xml:space="preserve">신규 브랜드 온보딩, 등급별 요금제 정책 수립, 전사적 리스크 감지 및 이상 주문 개입, 브랜드 지원을 위한 대리 접근 권한 제어</w:t>
            </w:r>
          </w:p>
        </w:tc>
        <w:tc>
          <w:p>
            <w:pPr>
              <w:pStyle w:val="Compact"/>
              <w:jc w:val="left"/>
            </w:pPr>
            <w:r>
              <w:t xml:space="preserve">전 브랜드 통합 데이터 인사이트, 브랜드 간 자원 배분 최적화, 전사적 보안 정책 준수 모니터링</w:t>
            </w:r>
          </w:p>
        </w:tc>
      </w:tr>
      <w:tr>
        <w:tc>
          <w:p>
            <w:pPr>
              <w:pStyle w:val="Compact"/>
              <w:jc w:val="left"/>
            </w:pPr>
            <w:r>
              <w:rPr>
                <w:b/>
              </w:rPr>
              <w:t xml:space="preserve">브랜드 허브</w:t>
            </w:r>
            <w:r>
              <w:t xml:space="preserve"> </w:t>
            </w:r>
            <w:r>
              <w:t xml:space="preserve">(본사 관리자)</w:t>
            </w:r>
          </w:p>
        </w:tc>
        <w:tc>
          <w:p>
            <w:pPr>
              <w:pStyle w:val="Compact"/>
              <w:jc w:val="left"/>
            </w:pPr>
            <w:r>
              <w:t xml:space="preserve">브랜드 소유주</w:t>
            </w:r>
          </w:p>
        </w:tc>
        <w:tc>
          <w:p>
            <w:pPr>
              <w:pStyle w:val="Compact"/>
              <w:jc w:val="left"/>
            </w:pPr>
            <w:r>
              <w:t xml:space="preserve">가맹점 확장 전략 수립, 브랜드 고유 정체성(Identity) 설정, 메뉴 및 서비스 표준화, 통합 마케팅 프로모션 실행</w:t>
            </w:r>
          </w:p>
        </w:tc>
        <w:tc>
          <w:p>
            <w:pPr>
              <w:pStyle w:val="Compact"/>
              <w:jc w:val="left"/>
            </w:pPr>
            <w:r>
              <w:t xml:space="preserve">소속 가맹점 및 하위 시스템 운영 현황 통합 조회, 브랜드 내 세부 역할 부여 및 성과 관리</w:t>
            </w:r>
          </w:p>
        </w:tc>
      </w:tr>
      <w:tr>
        <w:tc>
          <w:p>
            <w:pPr>
              <w:pStyle w:val="Compact"/>
              <w:jc w:val="left"/>
            </w:pPr>
            <w:r>
              <w:rPr>
                <w:b/>
              </w:rPr>
              <w:t xml:space="preserve">운영 접점</w:t>
            </w:r>
            <w:r>
              <w:t xml:space="preserve"> </w:t>
            </w:r>
            <w:r>
              <w:t xml:space="preserve">(POS, 고객앱)</w:t>
            </w:r>
          </w:p>
        </w:tc>
        <w:tc>
          <w:p>
            <w:pPr>
              <w:pStyle w:val="Compact"/>
              <w:jc w:val="left"/>
            </w:pPr>
            <w:r>
              <w:t xml:space="preserve">가맹 운영팀</w:t>
            </w:r>
          </w:p>
        </w:tc>
        <w:tc>
          <w:p>
            <w:pPr>
              <w:pStyle w:val="Compact"/>
              <w:jc w:val="left"/>
            </w:pPr>
            <w:r>
              <w:t xml:space="preserve">실시간 고객 접점 트랜잭션 관리, 매장별 재고 최적화, 현장 고객 프로모션 수행</w:t>
            </w:r>
          </w:p>
        </w:tc>
        <w:tc>
          <w:p>
            <w:pPr>
              <w:pStyle w:val="Compact"/>
              <w:jc w:val="left"/>
            </w:pPr>
            <w:r>
              <w:t xml:space="preserve">해당 매장/기기 단위의 독립적인 운영 데이터 관리, 현장 상황에 최적화된 로컬 설정</w:t>
            </w:r>
          </w:p>
        </w:tc>
      </w:tr>
    </w:tbl>
    <w:p>
      <w:pPr>
        <w:pStyle w:val="BodyText"/>
      </w:pPr>
      <w:r>
        <w:t xml:space="preserve">이 모델은 상위 계층의 정책이 하위로 자연스럽게 전파되는 구조를 취하면서도, 특정 브랜드나 지역의 특수성을 반영할 수 있는</w:t>
      </w:r>
      <w:r>
        <w:t xml:space="preserve"> </w:t>
      </w:r>
      <w:r>
        <w:t xml:space="preserve">‘</w:t>
      </w:r>
      <w:r>
        <w:t xml:space="preserve">정책 재정의(Override)</w:t>
      </w:r>
      <w:r>
        <w:t xml:space="preserve">’</w:t>
      </w:r>
      <w:r>
        <w:t xml:space="preserve"> </w:t>
      </w:r>
      <w:r>
        <w:t xml:space="preserve">메커니즘을 통해 엔터프라이즈급 유연성을 제공한다.</w:t>
      </w:r>
    </w:p>
    <w:p>
      <w:pPr>
        <w:pStyle w:val="Heading3"/>
      </w:pPr>
      <w:bookmarkStart w:id="23" w:name="등급별-서비스-패키징-및-수익-모델-확장-전략"/>
      <w:r>
        <w:t xml:space="preserve">2. 등급별 서비스 패키징 및 수익 모델 확장 전략</w:t>
      </w:r>
      <w:bookmarkEnd w:id="23"/>
    </w:p>
    <w:p>
      <w:pPr>
        <w:pStyle w:val="FirstParagraph"/>
      </w:pPr>
      <w:r>
        <w:t xml:space="preserve">플랫폼은 기능 중심의 개발 구조에서 벗어나, 비즈니스 가치를 기반으로 기능을 묶어 제공하는 ’등급별 서비스 레이아웃’을 채택한다.</w:t>
      </w:r>
    </w:p>
    <w:p>
      <w:pPr>
        <w:numPr>
          <w:ilvl w:val="0"/>
          <w:numId w:val="1001"/>
        </w:numPr>
        <w:pStyle w:val="Compact"/>
      </w:pPr>
      <w:r>
        <w:rPr>
          <w:b/>
        </w:rPr>
        <w:t xml:space="preserve">요금제 기반 기능 활성화 메커니즘 (Business Keystoning)</w:t>
      </w:r>
    </w:p>
    <w:p>
      <w:pPr>
        <w:numPr>
          <w:ilvl w:val="1"/>
          <w:numId w:val="1002"/>
        </w:numPr>
        <w:pStyle w:val="Compact"/>
      </w:pPr>
      <w:r>
        <w:rPr>
          <w:b/>
        </w:rPr>
        <w:t xml:space="preserve">A 패키지 (Standard)</w:t>
      </w:r>
      <w:r>
        <w:t xml:space="preserve">: 기본 거래 처리 및 매장 운영에 필수적인 핵심 기능을 제공하여 시장 진입 장벽을 낮춘다.</w:t>
      </w:r>
    </w:p>
    <w:p>
      <w:pPr>
        <w:numPr>
          <w:ilvl w:val="1"/>
          <w:numId w:val="1002"/>
        </w:numPr>
        <w:pStyle w:val="Compact"/>
      </w:pPr>
      <w:r>
        <w:rPr>
          <w:b/>
        </w:rPr>
        <w:t xml:space="preserve">B 패키지 (Professional)</w:t>
      </w:r>
      <w:r>
        <w:t xml:space="preserve">: 데이터 기반의 마케팅 도구, 외부 파트너십 연동, 분석 통계 등 브랜드 확장성을 위한 고도화된 솔루션을 제공한다.</w:t>
      </w:r>
    </w:p>
    <w:p>
      <w:pPr>
        <w:numPr>
          <w:ilvl w:val="1"/>
          <w:numId w:val="1002"/>
        </w:numPr>
        <w:pStyle w:val="Compact"/>
      </w:pPr>
      <w:r>
        <w:rPr>
          <w:b/>
        </w:rPr>
        <w:t xml:space="preserve">지능형 기능 게이트</w:t>
      </w:r>
      <w:r>
        <w:t xml:space="preserve">: 요금제 등급에 따라 상위 기능이 활성화되어야만 하위 기능이 연쇄적으로 작동하도록 설계하여, 자연스러운 서비스 업그레이드를 유도한다.</w:t>
      </w:r>
    </w:p>
    <w:p>
      <w:pPr>
        <w:numPr>
          <w:ilvl w:val="0"/>
          <w:numId w:val="1001"/>
        </w:numPr>
        <w:pStyle w:val="Compact"/>
      </w:pPr>
      <w:r>
        <w:rPr>
          <w:b/>
        </w:rPr>
        <w:t xml:space="preserve">전략적 업셀링 워크플로우</w:t>
      </w:r>
    </w:p>
    <w:p>
      <w:pPr>
        <w:numPr>
          <w:ilvl w:val="1"/>
          <w:numId w:val="1003"/>
        </w:numPr>
        <w:pStyle w:val="Compact"/>
      </w:pPr>
      <w:r>
        <w:t xml:space="preserve">시스템은 브랜드의 사용량과 활동 패턴을 실시간 측정하여 성장에 필요한 다음 단계를 선제적으로 제안한다. 예를 들어, 주문량이 한도에 도달하거나 프리미엄 마케팅 도구에 대한 니즈가 감지될 경우 자동으로 상위 패키지 전환 제안이 실행된다.</w:t>
      </w:r>
    </w:p>
    <w:p>
      <w:pPr>
        <w:pStyle w:val="Heading3"/>
      </w:pPr>
      <w:bookmarkStart w:id="24" w:name="통합-고객-서비스cs-및-글로벌-비즈니스-관제-전략"/>
      <w:r>
        <w:t xml:space="preserve">3. 통합 고객 서비스(CS) 및 글로벌 비즈니스 관제 전략</w:t>
      </w:r>
      <w:bookmarkEnd w:id="24"/>
    </w:p>
    <w:p>
      <w:pPr>
        <w:pStyle w:val="FirstParagraph"/>
      </w:pPr>
      <w:r>
        <w:t xml:space="preserve">슈퍼관리자는 개별 브랜드의 관리 화면에 접속하지 않고도 플랫폼 전체의 건강 상태를 모니터링하고 즉각적으로 대응할 수 있는</w:t>
      </w:r>
      <w:r>
        <w:t xml:space="preserve"> </w:t>
      </w:r>
      <w:r>
        <w:rPr>
          <w:b/>
        </w:rPr>
        <w:t xml:space="preserve">‘</w:t>
      </w:r>
      <w:r>
        <w:rPr>
          <w:b/>
        </w:rPr>
        <w:t xml:space="preserve">글로벌 오더 커맨드 센터</w:t>
      </w:r>
      <w:r>
        <w:rPr>
          <w:b/>
        </w:rPr>
        <w:t xml:space="preserve">’</w:t>
      </w:r>
      <w:r>
        <w:t xml:space="preserve">를 운용한다.</w:t>
      </w:r>
    </w:p>
    <w:p>
      <w:pPr>
        <w:numPr>
          <w:ilvl w:val="0"/>
          <w:numId w:val="1004"/>
        </w:numPr>
        <w:pStyle w:val="Compact"/>
      </w:pPr>
      <w:r>
        <w:rPr>
          <w:b/>
        </w:rPr>
        <w:t xml:space="preserve">전 브랜드 통합 관제 및 직접 제어 (Intervention Strategy)</w:t>
      </w:r>
    </w:p>
    <w:p>
      <w:pPr>
        <w:numPr>
          <w:ilvl w:val="1"/>
          <w:numId w:val="1005"/>
        </w:numPr>
        <w:pStyle w:val="Compact"/>
      </w:pPr>
      <w:r>
        <w:rPr>
          <w:b/>
        </w:rPr>
        <w:t xml:space="preserve">실시간 비즈니스 흐름 통합</w:t>
      </w:r>
      <w:r>
        <w:t xml:space="preserve">: 모든 브랜드에서 발생하는 거래 데이터를 실시간으로 수집하여 플랫폼 차원의 통합 대시보드를 구성한다.</w:t>
      </w:r>
    </w:p>
    <w:p>
      <w:pPr>
        <w:numPr>
          <w:ilvl w:val="1"/>
          <w:numId w:val="1005"/>
        </w:numPr>
        <w:pStyle w:val="Compact"/>
      </w:pPr>
      <w:r>
        <w:rPr>
          <w:b/>
        </w:rPr>
        <w:t xml:space="preserve">리스크 감지 및 선제적 대응</w:t>
      </w:r>
      <w:r>
        <w:t xml:space="preserve">: 평소와 다른 주문 급증이나 시스템 장애 징후 포착 시, 슈퍼관리자 대시보드에 즉각 경고를 발생시키며 필요시 특정 매장의 기능을 일시 중지하는 등 강력한 개입력을 행사한다.</w:t>
      </w:r>
    </w:p>
    <w:p>
      <w:pPr>
        <w:numPr>
          <w:ilvl w:val="1"/>
          <w:numId w:val="1005"/>
        </w:numPr>
        <w:pStyle w:val="Compact"/>
      </w:pPr>
      <w:r>
        <w:rPr>
          <w:b/>
        </w:rPr>
        <w:t xml:space="preserve">전문가 지원 모드 (Brand Delegation)</w:t>
      </w:r>
      <w:r>
        <w:t xml:space="preserve">: 브랜드의 요청이나 기술 지원이 필요한 경우, 슈퍼관리자는 보안 정책 하에 해당 브랜드의 관리 문맥으로 즉시 전환하여 문제를 해결할 수 있는 기능을 보유한다. 모든 개입 활동은 브랜드 관리자에게 투명하게 공유되어 신뢰를 보장한다.</w:t>
      </w:r>
    </w:p>
    <w:p>
      <w:pPr>
        <w:pStyle w:val="Heading3"/>
      </w:pPr>
      <w:bookmarkStart w:id="25" w:name="데이터-보호-및-비즈니스-연속성-모델"/>
      <w:r>
        <w:t xml:space="preserve">4. 데이터 보호 및 비즈니스 연속성 모델</w:t>
      </w:r>
      <w:bookmarkEnd w:id="25"/>
    </w:p>
    <w:p>
      <w:pPr>
        <w:pStyle w:val="FirstParagraph"/>
      </w:pPr>
      <w:r>
        <w:t xml:space="preserve">수천 개의 브랜드가 공존하는 환경에서 각 브랜드의 비즈니스 자산인 데이터는 철저히 분리 보관되어야 한다.</w:t>
      </w:r>
    </w:p>
    <w:p>
      <w:pPr>
        <w:numPr>
          <w:ilvl w:val="0"/>
          <w:numId w:val="1006"/>
        </w:numPr>
        <w:pStyle w:val="Compact"/>
      </w:pPr>
      <w:r>
        <w:rPr>
          <w:b/>
        </w:rPr>
        <w:t xml:space="preserve">비즈니스 데이터 격리 정책</w:t>
      </w:r>
      <w:r>
        <w:t xml:space="preserve">: 모든 운영 쿼리는 실행 시 해당 브랜드의 식별자를 강제로 검증하며, 대형 브랜드는 규제 대응을 위해 물리적으로 분리된 전용 데이터 공간을 할당받을 수 있는 하이브리드 보관 모델을 지원한다.</w:t>
      </w:r>
    </w:p>
    <w:p>
      <w:pPr>
        <w:numPr>
          <w:ilvl w:val="0"/>
          <w:numId w:val="1006"/>
        </w:numPr>
        <w:pStyle w:val="Compact"/>
      </w:pPr>
      <w:r>
        <w:rPr>
          <w:b/>
        </w:rPr>
        <w:t xml:space="preserve">오프라인 자립 운영 (Offline Resilience)</w:t>
      </w:r>
      <w:r>
        <w:t xml:space="preserve">: 인터넷 연결이 불안정한 현장 매장(POS)에서도 고객 경험이 끊기지 않도록, 주요 설정과 기능을 기기 내부에 유지하고 연결 복구 시 데이터를 자동 동기화하는 자립형 운영 구조를 유지한다.</w:t>
      </w:r>
    </w:p>
    <w:p>
      <w:pPr>
        <w:pStyle w:val="Heading3"/>
      </w:pPr>
      <w:bookmarkStart w:id="26" w:name="서비스-포트폴리오의-독립적-확장성-modular-strategy"/>
      <w:r>
        <w:t xml:space="preserve">5. 서비스 포트폴리오의 독립적 확장성 (Modular Strategy)</w:t>
      </w:r>
      <w:bookmarkEnd w:id="26"/>
    </w:p>
    <w:p>
      <w:pPr>
        <w:pStyle w:val="FirstParagraph"/>
      </w:pPr>
      <w:r>
        <w:t xml:space="preserve">플랫폼의 각 기능 영역은 비즈니스 도메인별로 분리되어 독립적으로 확장 및 업데이트가 가능하다.</w:t>
      </w:r>
    </w:p>
    <w:p>
      <w:pPr>
        <w:numPr>
          <w:ilvl w:val="0"/>
          <w:numId w:val="1007"/>
        </w:numPr>
        <w:pStyle w:val="Compact"/>
      </w:pPr>
      <w:r>
        <w:rPr>
          <w:b/>
        </w:rPr>
        <w:t xml:space="preserve">인증 및 권한 센터</w:t>
      </w:r>
      <w:r>
        <w:t xml:space="preserve">: 전 글로벌 아이디와 브랜드별 멤버십을 체계적으로 연결 관리한다.</w:t>
      </w:r>
    </w:p>
    <w:p>
      <w:pPr>
        <w:numPr>
          <w:ilvl w:val="0"/>
          <w:numId w:val="1007"/>
        </w:numPr>
        <w:pStyle w:val="Compact"/>
      </w:pPr>
      <w:r>
        <w:rPr>
          <w:b/>
        </w:rPr>
        <w:t xml:space="preserve">거래 생명주기 관리</w:t>
      </w:r>
      <w:r>
        <w:t xml:space="preserve">: 주문의 발생부터 정산, 그리고 AS 취소 처리에 이르는 전체 주기를 안정적으로 관리하며, 특히 슈퍼관리자의 취소 명령이 시스템 전체에 일관되게 반영되도록 보장한다.</w:t>
      </w:r>
    </w:p>
    <w:p>
      <w:pPr>
        <w:numPr>
          <w:ilvl w:val="0"/>
          <w:numId w:val="1007"/>
        </w:numPr>
        <w:pStyle w:val="Compact"/>
      </w:pPr>
      <w:r>
        <w:rPr>
          <w:b/>
        </w:rPr>
        <w:t xml:space="preserve">외부 에코시스템 어댑터</w:t>
      </w:r>
      <w:r>
        <w:t xml:space="preserve">: 제휴 할인, 결제 대행사 등 외부 파트너와의 연동 시 표준화된 인터페이스를 사용하여 브랜드별로 필요한 파트너를 손쉽게 선택하고 활성화할 수 있는 구조를 제공한다.</w:t>
      </w:r>
    </w:p>
    <w:p>
      <w:pPr>
        <w:pStyle w:val="Heading3"/>
      </w:pPr>
      <w:bookmarkStart w:id="27" w:name="결론-및-비즈니스-제언"/>
      <w:r>
        <w:t xml:space="preserve">결론 및 비즈니스 제언</w:t>
      </w:r>
      <w:bookmarkEnd w:id="27"/>
    </w:p>
    <w:p>
      <w:pPr>
        <w:pStyle w:val="FirstParagraph"/>
      </w:pPr>
      <w:r>
        <w:t xml:space="preserve">본 아키텍처 설계는 기술적 복잡성을 비즈니스 전략의 관점에서 추상화하여,</w:t>
      </w:r>
      <w:r>
        <w:t xml:space="preserve"> </w:t>
      </w:r>
      <w:r>
        <w:rPr>
          <w:b/>
        </w:rPr>
        <w:t xml:space="preserve">‘</w:t>
      </w:r>
      <w:r>
        <w:rPr>
          <w:b/>
        </w:rPr>
        <w:t xml:space="preserve">성장하는 브랜드와 함께 진화하는 플랫폼</w:t>
      </w:r>
      <w:r>
        <w:rPr>
          <w:b/>
        </w:rPr>
        <w:t xml:space="preserve">’</w:t>
      </w:r>
      <w:r>
        <w:t xml:space="preserve">의 기반을 마련한다. 슈퍼관리자의 강력한 관제력과 브랜드의 유연한 자율성이 결합된 이 모델은 운영 리스크를 최소화하고 고객 브랜드의 신뢰도를 극대화할 것이다.</w:t>
      </w:r>
    </w:p>
    <w:p>
      <w:pPr>
        <w:pStyle w:val="BodyText"/>
      </w:pPr>
      <w:r>
        <w:t xml:space="preserve">향후에는 인공지능 기반의 비즈니스 예측 모델을 도입하여 각 브랜드에 최적화된 마케팅 캠페인을 자동 제안함으로써, 단순한 도구 제공자를 넘어 브랜드의 성장 파트너로서 플랫폼의 가치를 더욱 공고히 할 것을 권장한다. 브랜드의 데이터가 플랫폼의 지능이 되고, 플랫폼의 기능이 브랜드의 경쟁력이 되는 선순환 구조를 통해 지속 가능한 SaaS 생태계 완성을 목표로 한다.</w:t>
      </w:r>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맑은 고딕" w:cs="맑은 고딕" w:eastAsia="맑은 고딕" w:hAnsi="맑은 고딕"/>
        <w:sz w:val="18"/>
        <w:szCs w:val="18"/>
      </w:rPr>
      <w:fldChar w:fldCharType="begin"/>
      <w:instrText xml:space="preserve">PAGE</w:instrText>
      <w:fldChar w:fldCharType="separate"/>
      <w:fldChar w:fldCharType="end"/>
    </w:r>
    <w:r>
      <w:rPr>
        <w:rFonts w:ascii="맑은 고딕" w:cs="맑은 고딕" w:eastAsia="맑은 고딕" w:hAnsi="맑은 고딕"/>
        <w:sz w:val="18"/>
        <w:szCs w:val="18"/>
      </w:rPr>
      <w:t xml:space="preserve"> / </w:t>
    </w:r>
    <w:r>
      <w:rPr>
        <w:rFonts w:ascii="맑은 고딕" w:cs="맑은 고딕" w:eastAsia="맑은 고딕" w:hAnsi="맑은 고딕"/>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evenAndOddHeader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pPr>
    <w:rPr>
      <w:rFonts w:ascii="맑은 고딕" w:cs="맑은 고딕" w:eastAsia="맑은 고딕" w:hAnsi="맑은 고딕"/>
      <w:sz w:val="22"/>
      <w:szCs w:val="22"/>
    </w:rPr>
  </w:style>
  <w:style w:type="paragraph" w:styleId="Heading1">
    <w:name w:val="Heading 1"/>
    <w:basedOn w:val="Normal"/>
    <w:next w:val="Normal"/>
    <w:qFormat/>
    <w:pPr>
      <w:pBdr>
        <w:bottom w:val="single" w:color="1F3864" w:sz="6" w:space="4"/>
      </w:pBdr>
      <w:spacing w:after="120" w:before="360"/>
      <w:outlineLvl w:val="0"/>
    </w:pPr>
    <w:rPr>
      <w:rFonts w:ascii="맑은 고딕" w:cs="맑은 고딕" w:eastAsia="맑은 고딕" w:hAnsi="맑은 고딕"/>
      <w:b/>
      <w:bCs/>
      <w:color w:val="1F3864"/>
      <w:sz w:val="28"/>
      <w:szCs w:val="28"/>
    </w:rPr>
  </w:style>
  <w:style w:type="paragraph" w:styleId="Heading2">
    <w:name w:val="Heading 2"/>
    <w:basedOn w:val="Normal"/>
    <w:next w:val="Normal"/>
    <w:qFormat/>
    <w:pPr>
      <w:spacing w:after="80" w:before="280"/>
      <w:outlineLvl w:val="1"/>
    </w:pPr>
    <w:rPr>
      <w:rFonts w:ascii="맑은 고딕" w:cs="맑은 고딕" w:eastAsia="맑은 고딕" w:hAnsi="맑은 고딕"/>
      <w:b/>
      <w:bCs/>
      <w:color w:val="2E4B91"/>
      <w:sz w:val="26"/>
      <w:szCs w:val="26"/>
    </w:rPr>
  </w:style>
  <w:style w:type="paragraph" w:styleId="Heading3">
    <w:name w:val="Heading 3"/>
    <w:basedOn w:val="Normal"/>
    <w:next w:val="Normal"/>
    <w:qFormat/>
    <w:pPr>
      <w:spacing w:after="60" w:before="200"/>
      <w:outlineLvl w:val="2"/>
    </w:pPr>
    <w:rPr>
      <w:rFonts w:ascii="맑은 고딕" w:cs="맑은 고딕" w:eastAsia="맑은 고딕" w:hAnsi="맑은 고딕"/>
      <w:b/>
      <w:bCs/>
      <w:color w:val="2E4B91"/>
      <w:sz w:val="24"/>
      <w:szCs w:val="24"/>
    </w:rPr>
  </w:style>
  <w:style w:type="paragraph" w:styleId="Heading4">
    <w:name w:val="Heading 4"/>
    <w:basedOn w:val="Normal"/>
    <w:next w:val="Normal"/>
    <w:qFormat/>
    <w:pPr>
      <w:spacing w:after="40" w:before="160"/>
      <w:outlineLvl w:val="3"/>
    </w:pPr>
    <w:rPr>
      <w:rFonts w:ascii="맑은 고딕" w:cs="맑은 고딕" w:eastAsia="맑은 고딕" w:hAnsi="맑은 고딕"/>
      <w:b/>
      <w:bCs/>
      <w:sz w:val="22"/>
      <w:szCs w:val="22"/>
    </w:rPr>
  </w:style>
  <w:style w:type="paragraph" w:styleId="verbatim">
    <w:name w:val="verbatim"/>
    <w:basedOn w:val="Normal"/>
    <w:pPr>
      <w:shd w:fill="F8F8F8" w:val="clear"/>
      <w:spacing w:after="60" w:before="60"/>
    </w:pPr>
    <w:rPr>
      <w:rFonts w:ascii="Courier New" w:cs="Courier New" w:eastAsia="Courier New" w:hAnsi="Courier New"/>
      <w:color w:val="C7254E"/>
      <w:sz w:val="18"/>
      <w:szCs w:val="18"/>
    </w:rPr>
  </w:style>
  <w:style w:type="character" w:styleId="verbatim char">
    <w:name w:val="verbatim char"/>
    <w:uiPriority w:val="99"/>
    <w:unhideWhenUsed/>
    <w:rPr>
      <w:rFonts w:ascii="Courier New" w:cs="Courier New" w:eastAsia="Courier New" w:hAnsi="Courier New"/>
      <w:color w:val="C7254E"/>
      <w:sz w:val="18"/>
      <w:szCs w:val="18"/>
    </w:rPr>
  </w:style>
  <w:style w:type="table" w:styleId="Table">
    <w:name w:val="Table"/>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20" w:type="dxa"/>
        <w:bottom w:w="60" w:type="dxa"/>
        <w:right w:w="120" w:type="dxa"/>
      </w:tblCellMar>
    </w:tblPr>
    <w:tblStylePr w:type="firstRow">
      <w:rPr>
        <w:b/>
        <w:color w:val="FFFFFF"/>
        <w:sz w:val="22"/>
      </w:rPr>
      <w:tcPr>
        <w:tcBorders>
          <w:bottom w:val="single" w:sz="8" w:space="0" w:color="1F3864"/>
        </w:tcBorders>
        <w:shd w:val="clear" w:fill="1F3864"/>
      </w:tcPr>
    </w:tblStylePr>
    <w:tblStylePr w:type="band1Horz">
      <w:tcPr>
        <w:shd w:val="clear" w:fill="F2F7FB"/>
      </w:tcPr>
    </w:tblStylePr>
  </w:style>
  <w:style w:type="paragraph" w:styleId="Compact">
    <w:name w:val="Compact"/>
    <w:basedOn w:val="Normal"/>
    <w:pPr>
      <w:spacing w:before="20" w:after="20" w:line="260" w:lineRule="atLeast"/>
    </w:pPr>
    <w:rPr>
      <w:rFonts w:ascii="맑은 고딕" w:hAnsi="맑은 고딕" w:eastAsia="맑은 고딕"/>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2026-03-13T09:16:11Z</dcterms:created>
  <dcterms:modified xsi:type="dcterms:W3CDTF">2026-03-13T09:16:11Z</dcterms:modified>
</cp:coreProperties>
</file>

<file path=docProps/custom.xml><?xml version="1.0" encoding="utf-8"?>
<Properties xmlns="http://schemas.openxmlformats.org/officeDocument/2006/custom-properties" xmlns:vt="http://schemas.openxmlformats.org/officeDocument/2006/docPropsVTypes"/>
</file>