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0"/>
      </w:pPr>
      <w:r>
        <w:rPr>
          <w:rFonts w:ascii="Arial" w:cs="Arial" w:eastAsia="Arial" w:hAnsi="Arial"/>
          <w:b/>
          <w:bCs/>
          <w:color w:val="0F6E56"/>
          <w:sz w:val="20"/>
          <w:szCs w:val="20"/>
        </w:rPr>
        <w:t xml:space="preserve">TECHNICAL DOCUMENTATION</w:t>
      </w:r>
    </w:p>
    <w:p>
      <w:pPr>
        <w:spacing w:after="80"/>
      </w:pPr>
      <w:r>
        <w:rPr>
          <w:rFonts w:ascii="Arial" w:cs="Arial" w:eastAsia="Arial" w:hAnsi="Arial"/>
          <w:b/>
          <w:bCs/>
          <w:color w:val="993C1D"/>
          <w:sz w:val="52"/>
          <w:szCs w:val="52"/>
        </w:rPr>
        <w:t xml:space="preserve">BTS Brewer #66639</w:t>
      </w:r>
    </w:p>
    <w:p>
      <w:pPr>
        <w:spacing w:after="40"/>
      </w:pPr>
      <w:r>
        <w:rPr>
          <w:rFonts w:ascii="Arial" w:cs="Arial" w:eastAsia="Arial" w:hAnsi="Arial"/>
          <w:i/>
          <w:iCs/>
          <w:color w:val="5F5E5A"/>
          <w:sz w:val="28"/>
          <w:szCs w:val="28"/>
        </w:rPr>
        <w:t xml:space="preserve">Brewer Transportable Spectrometer — Kipp &amp; Zonen</w:t>
      </w:r>
    </w:p>
    <w:p>
      <w:pPr>
        <w:spacing w:after="60"/>
      </w:pPr>
      <w:r>
        <w:rPr>
          <w:rFonts w:ascii="Arial" w:cs="Arial" w:eastAsia="Arial" w:hAnsi="Arial"/>
          <w:b/>
          <w:bCs/>
          <w:color w:val="993C1D"/>
          <w:sz w:val="20"/>
          <w:szCs w:val="20"/>
        </w:rPr>
        <w:t xml:space="preserve">Total ozone column · UV spectrophotometry · Transportable reference</w:t>
      </w:r>
    </w:p>
    <w:p>
      <w:pPr>
        <w:spacing w:after="300"/>
      </w:pPr>
      <w:r>
        <w:rPr>
          <w:rFonts w:ascii="Arial" w:cs="Arial" w:eastAsia="Arial" w:hAnsi="Arial"/>
          <w:color w:val="5F5E5A"/>
          <w:sz w:val="22"/>
          <w:szCs w:val="22"/>
        </w:rPr>
        <w:t xml:space="preserve">FMI — Sodankylä Arctic Research Station  ·  67°22’N, 26°38’E</w:t>
      </w:r>
    </w:p>
    <w:p>
      <w:pPr>
        <w:pBdr>
          <w:bottom w:val="single" w:color="993C1D" w:sz="6" w:space="1"/>
        </w:pBdr>
        <w:spacing w:after="300"/>
      </w:pPr>
    </w:p>
    <w:p>
      <w:pPr>
        <w:spacing w:after="160"/>
      </w:pPr>
      <w:r>
        <w:t xml:space="preserve"/>
      </w:r>
    </w:p>
    <w:p>
      <w:pPr>
        <w:pStyle w:val="Heading1"/>
        <w:pBdr>
          <w:bottom w:val="single" w:color="993C1D" w:sz="8" w:space="4"/>
        </w:pBdr>
        <w:spacing w:after="160" w:before="400"/>
      </w:pPr>
      <w:r>
        <w:rPr>
          <w:rFonts w:ascii="Arial" w:cs="Arial" w:eastAsia="Arial" w:hAnsi="Arial"/>
          <w:b/>
          <w:bCs/>
          <w:color w:val="993C1D"/>
          <w:sz w:val="32"/>
          <w:szCs w:val="32"/>
        </w:rPr>
        <w:t xml:space="preserve">1. Instrument Overview</w:t>
      </w:r>
    </w:p>
    <w:p>
      <w:pPr>
        <w:spacing w:after="140"/>
      </w:pPr>
      <w:r>
        <w:rPr>
          <w:rFonts w:ascii="Arial" w:cs="Arial" w:eastAsia="Arial" w:hAnsi="Arial"/>
          <w:color w:val="1A1A1A"/>
          <w:sz w:val="22"/>
          <w:szCs w:val="22"/>
        </w:rPr>
        <w:t xml:space="preserve">The </w:t>
      </w:r>
      <w:r>
        <w:rPr>
          <w:rFonts w:ascii="Arial" w:cs="Arial" w:eastAsia="Arial" w:hAnsi="Arial"/>
          <w:b/>
          <w:bCs/>
          <w:color w:val="1A1A1A"/>
          <w:sz w:val="22"/>
          <w:szCs w:val="22"/>
        </w:rPr>
        <w:t xml:space="preserve">BTS (Brewer Transportable Spectrometer) #66639</w:t>
      </w:r>
      <w:r>
        <w:rPr>
          <w:rFonts w:ascii="Arial" w:cs="Arial" w:eastAsia="Arial" w:hAnsi="Arial"/>
          <w:color w:val="1A1A1A"/>
          <w:sz w:val="22"/>
          <w:szCs w:val="22"/>
        </w:rPr>
        <w:t xml:space="preserve"> is a portable version of the standard Kipp &amp; Zonen Brewer spectrophotometer, designed to be deployed at field sites for campaign measurements and inter-comparisons. At Sodankylä, the BTS operates alongside the fixed Brewer MkIII to provide an independent measurement of the </w:t>
      </w:r>
      <w:r>
        <w:rPr>
          <w:rFonts w:ascii="Arial" w:cs="Arial" w:eastAsia="Arial" w:hAnsi="Arial"/>
          <w:b/>
          <w:bCs/>
          <w:color w:val="1A1A1A"/>
          <w:sz w:val="22"/>
          <w:szCs w:val="22"/>
        </w:rPr>
        <w:t xml:space="preserve">total ozone column (TOC)</w:t>
      </w:r>
      <w:r>
        <w:rPr>
          <w:rFonts w:ascii="Arial" w:cs="Arial" w:eastAsia="Arial" w:hAnsi="Arial"/>
          <w:color w:val="1A1A1A"/>
          <w:sz w:val="22"/>
          <w:szCs w:val="22"/>
        </w:rPr>
        <w:t xml:space="preserve"> and serves as a cross-validation reference within the local instrument network.</w:t>
      </w:r>
    </w:p>
    <w:p>
      <w:pPr>
        <w:spacing w:after="140"/>
      </w:pPr>
      <w:r>
        <w:rPr>
          <w:rFonts w:ascii="Arial" w:cs="Arial" w:eastAsia="Arial" w:hAnsi="Arial"/>
          <w:color w:val="1A1A1A"/>
          <w:sz w:val="22"/>
          <w:szCs w:val="22"/>
        </w:rPr>
        <w:t xml:space="preserve">Like all Brewer instruments, the BTS measures direct solar UV irradiance at five discrete wavelengths in the Hartley–Huggins ozone absorption band (306–320 nm). The differential absorption between wavelengths yields the ozone column in Dobson Units (DU). Its transportable design makes it particularly useful for </w:t>
      </w:r>
      <w:r>
        <w:rPr>
          <w:rFonts w:ascii="Arial" w:cs="Arial" w:eastAsia="Arial" w:hAnsi="Arial"/>
          <w:b/>
          <w:bCs/>
          <w:color w:val="1A1A1A"/>
          <w:sz w:val="22"/>
          <w:szCs w:val="22"/>
        </w:rPr>
        <w:t xml:space="preserve">NDACC inter-comparison campaigns</w:t>
      </w:r>
      <w:r>
        <w:rPr>
          <w:rFonts w:ascii="Arial" w:cs="Arial" w:eastAsia="Arial" w:hAnsi="Arial"/>
          <w:color w:val="1A1A1A"/>
          <w:sz w:val="22"/>
          <w:szCs w:val="22"/>
        </w:rPr>
        <w:t xml:space="preserve"> and as a travelling reference to verify the calibration of fixed network instruments.</w:t>
      </w:r>
    </w:p>
    <w:p>
      <w:pPr>
        <w:spacing w:after="140"/>
      </w:pPr>
      <w:r>
        <w:rPr>
          <w:rFonts w:ascii="Arial" w:cs="Arial" w:eastAsia="Arial" w:hAnsi="Arial"/>
          <w:b/>
          <w:bCs/>
          <w:color w:val="993C1D"/>
          <w:sz w:val="22"/>
          <w:szCs w:val="22"/>
        </w:rPr>
        <w:t xml:space="preserve">Note: </w:t>
      </w:r>
      <w:r>
        <w:rPr>
          <w:rFonts w:ascii="Arial" w:cs="Arial" w:eastAsia="Arial" w:hAnsi="Arial"/>
          <w:color w:val="1A1A1A"/>
          <w:sz w:val="22"/>
          <w:szCs w:val="22"/>
        </w:rPr>
        <w:t xml:space="preserve">The BTS Brewer Transportable Spectrometer (#66639) is a distinct instrument from the BTS DIAL Lidar also operated at Sodankylä. The DIAL lidar measures vertical ozone profiles by laser backscatter. The BTS described here measures total column ozone from direct solar UV photometry, and its data are stored as daily CSV files in </w:t>
      </w:r>
      <w:r>
        <w:rPr>
          <w:rFonts w:ascii="Courier New" w:cs="Courier New" w:eastAsia="Courier New" w:hAnsi="Courier New"/>
          <w:color w:val="993C1D"/>
          <w:sz w:val="20"/>
          <w:szCs w:val="20"/>
        </w:rPr>
        <w:t xml:space="preserve">./BTS_data/</w:t>
      </w:r>
      <w:r>
        <w:rPr>
          <w:rFonts w:ascii="Arial" w:cs="Arial" w:eastAsia="Arial" w:hAnsi="Arial"/>
          <w:color w:val="1A1A1A"/>
          <w:sz w:val="22"/>
          <w:szCs w:val="22"/>
        </w:rPr>
        <w:t xml:space="preserve">.</w:t>
      </w:r>
    </w:p>
    <w:p>
      <w:pPr>
        <w:spacing w:after="8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none" w:color="FFFFFF" w:sz="0"/>
              <w:left w:val="none" w:color="FFFFFF" w:sz="0"/>
              <w:bottom w:val="none" w:color="FFFFFF" w:sz="0"/>
              <w:right w:val="none" w:color="FFFFFF" w:sz="0"/>
            </w:tcBorders>
            <w:shd w:fill="FAECE7" w:val="clear"/>
            <w:tcMar>
              <w:top w:type="dxa" w:w="120"/>
              <w:left w:type="dxa" w:w="180"/>
              <w:bottom w:type="dxa" w:w="120"/>
              <w:right w:type="dxa" w:w="180"/>
            </w:tcMar>
          </w:tcPr>
          <w:p>
            <w:pPr>
              <w:spacing w:after="80"/>
            </w:pPr>
            <w:r>
              <w:rPr>
                <w:rFonts w:ascii="Arial" w:cs="Arial" w:eastAsia="Arial" w:hAnsi="Arial"/>
                <w:b/>
                <w:bCs/>
                <w:color w:val="993C1D"/>
                <w:sz w:val="22"/>
                <w:szCs w:val="22"/>
              </w:rPr>
              <w:t xml:space="preserve">Key specifications</w:t>
            </w:r>
          </w:p>
          <w:p>
            <w:pPr>
              <w:spacing w:after="60"/>
            </w:pPr>
            <w:r>
              <w:rPr>
                <w:rFonts w:ascii="Arial" w:cs="Arial" w:eastAsia="Arial" w:hAnsi="Arial"/>
                <w:b/>
                <w:bCs/>
                <w:color w:val="993C1D"/>
                <w:sz w:val="20"/>
                <w:szCs w:val="20"/>
              </w:rPr>
              <w:t xml:space="preserve">Instrument: </w:t>
            </w:r>
            <w:r>
              <w:rPr>
                <w:rFonts w:ascii="Arial" w:cs="Arial" w:eastAsia="Arial" w:hAnsi="Arial"/>
                <w:color w:val="1A1A1A"/>
                <w:sz w:val="20"/>
                <w:szCs w:val="20"/>
              </w:rPr>
              <w:t xml:space="preserve">Brewer Transportable Spectrometer (BTS)</w:t>
            </w:r>
          </w:p>
          <w:p>
            <w:pPr>
              <w:spacing w:after="60"/>
            </w:pPr>
            <w:r>
              <w:rPr>
                <w:rFonts w:ascii="Arial" w:cs="Arial" w:eastAsia="Arial" w:hAnsi="Arial"/>
                <w:b/>
                <w:bCs/>
                <w:color w:val="993C1D"/>
                <w:sz w:val="20"/>
                <w:szCs w:val="20"/>
              </w:rPr>
              <w:t xml:space="preserve">Serial number: </w:t>
            </w:r>
            <w:r>
              <w:rPr>
                <w:rFonts w:ascii="Arial" w:cs="Arial" w:eastAsia="Arial" w:hAnsi="Arial"/>
                <w:color w:val="1A1A1A"/>
                <w:sz w:val="20"/>
                <w:szCs w:val="20"/>
              </w:rPr>
              <w:t xml:space="preserve">#66639</w:t>
            </w:r>
          </w:p>
          <w:p>
            <w:pPr>
              <w:spacing w:after="60"/>
            </w:pPr>
            <w:r>
              <w:rPr>
                <w:rFonts w:ascii="Arial" w:cs="Arial" w:eastAsia="Arial" w:hAnsi="Arial"/>
                <w:b/>
                <w:bCs/>
                <w:color w:val="993C1D"/>
                <w:sz w:val="20"/>
                <w:szCs w:val="20"/>
              </w:rPr>
              <w:t xml:space="preserve">Manufacturer: </w:t>
            </w:r>
            <w:r>
              <w:rPr>
                <w:rFonts w:ascii="Arial" w:cs="Arial" w:eastAsia="Arial" w:hAnsi="Arial"/>
                <w:color w:val="1A1A1A"/>
                <w:sz w:val="20"/>
                <w:szCs w:val="20"/>
              </w:rPr>
              <w:t xml:space="preserve">Kipp &amp; Zonen (Netherlands)</w:t>
            </w:r>
          </w:p>
          <w:p>
            <w:pPr>
              <w:spacing w:after="60"/>
            </w:pPr>
            <w:r>
              <w:rPr>
                <w:rFonts w:ascii="Arial" w:cs="Arial" w:eastAsia="Arial" w:hAnsi="Arial"/>
                <w:b/>
                <w:bCs/>
                <w:color w:val="993C1D"/>
                <w:sz w:val="20"/>
                <w:szCs w:val="20"/>
              </w:rPr>
              <w:t xml:space="preserve">Measurement wavelengths: </w:t>
            </w:r>
            <w:r>
              <w:rPr>
                <w:rFonts w:ascii="Arial" w:cs="Arial" w:eastAsia="Arial" w:hAnsi="Arial"/>
                <w:color w:val="1A1A1A"/>
                <w:sz w:val="20"/>
                <w:szCs w:val="20"/>
              </w:rPr>
              <w:t xml:space="preserve">306.3, 310.1, 313.5, 316.8, 320.1 nm</w:t>
            </w:r>
          </w:p>
          <w:p>
            <w:pPr>
              <w:spacing w:after="60"/>
            </w:pPr>
            <w:r>
              <w:rPr>
                <w:rFonts w:ascii="Arial" w:cs="Arial" w:eastAsia="Arial" w:hAnsi="Arial"/>
                <w:b/>
                <w:bCs/>
                <w:color w:val="993C1D"/>
                <w:sz w:val="20"/>
                <w:szCs w:val="20"/>
              </w:rPr>
              <w:t xml:space="preserve">Spectral resolution: </w:t>
            </w:r>
            <w:r>
              <w:rPr>
                <w:rFonts w:ascii="Arial" w:cs="Arial" w:eastAsia="Arial" w:hAnsi="Arial"/>
                <w:color w:val="1A1A1A"/>
                <w:sz w:val="20"/>
                <w:szCs w:val="20"/>
              </w:rPr>
              <w:t xml:space="preserve">~0.6 nm (FWHM)</w:t>
            </w:r>
          </w:p>
          <w:p>
            <w:pPr>
              <w:spacing w:after="60"/>
            </w:pPr>
            <w:r>
              <w:rPr>
                <w:rFonts w:ascii="Arial" w:cs="Arial" w:eastAsia="Arial" w:hAnsi="Arial"/>
                <w:b/>
                <w:bCs/>
                <w:color w:val="993C1D"/>
                <w:sz w:val="20"/>
                <w:szCs w:val="20"/>
              </w:rPr>
              <w:t xml:space="preserve">Measurement geometry: </w:t>
            </w:r>
            <w:r>
              <w:rPr>
                <w:rFonts w:ascii="Arial" w:cs="Arial" w:eastAsia="Arial" w:hAnsi="Arial"/>
                <w:color w:val="1A1A1A"/>
                <w:sz w:val="20"/>
                <w:szCs w:val="20"/>
              </w:rPr>
              <w:t xml:space="preserve">Direct sun</w:t>
            </w:r>
          </w:p>
          <w:p>
            <w:pPr>
              <w:spacing w:after="60"/>
            </w:pPr>
            <w:r>
              <w:rPr>
                <w:rFonts w:ascii="Arial" w:cs="Arial" w:eastAsia="Arial" w:hAnsi="Arial"/>
                <w:b/>
                <w:bCs/>
                <w:color w:val="993C1D"/>
                <w:sz w:val="20"/>
                <w:szCs w:val="20"/>
              </w:rPr>
              <w:t xml:space="preserve">Derived product: </w:t>
            </w:r>
            <w:r>
              <w:rPr>
                <w:rFonts w:ascii="Arial" w:cs="Arial" w:eastAsia="Arial" w:hAnsi="Arial"/>
                <w:color w:val="1A1A1A"/>
                <w:sz w:val="20"/>
                <w:szCs w:val="20"/>
              </w:rPr>
              <w:t xml:space="preserve">Total ozone column (DU), Ozone uncertainty (DU)</w:t>
            </w:r>
          </w:p>
          <w:p>
            <w:pPr>
              <w:spacing w:after="60"/>
            </w:pPr>
            <w:r>
              <w:rPr>
                <w:rFonts w:ascii="Arial" w:cs="Arial" w:eastAsia="Arial" w:hAnsi="Arial"/>
                <w:b/>
                <w:bCs/>
                <w:color w:val="993C1D"/>
                <w:sz w:val="20"/>
                <w:szCs w:val="20"/>
              </w:rPr>
              <w:t xml:space="preserve">Temporal resolution: </w:t>
            </w:r>
            <w:r>
              <w:rPr>
                <w:rFonts w:ascii="Arial" w:cs="Arial" w:eastAsia="Arial" w:hAnsi="Arial"/>
                <w:color w:val="1A1A1A"/>
                <w:sz w:val="20"/>
                <w:szCs w:val="20"/>
              </w:rPr>
              <w:t xml:space="preserve">~2–5 min (continuous during daylight)</w:t>
            </w:r>
          </w:p>
          <w:p>
            <w:pPr>
              <w:spacing w:after="60"/>
            </w:pPr>
            <w:r>
              <w:rPr>
                <w:rFonts w:ascii="Arial" w:cs="Arial" w:eastAsia="Arial" w:hAnsi="Arial"/>
                <w:b/>
                <w:bCs/>
                <w:color w:val="993C1D"/>
                <w:sz w:val="20"/>
                <w:szCs w:val="20"/>
              </w:rPr>
              <w:t xml:space="preserve">Accuracy (O₃): </w:t>
            </w:r>
            <w:r>
              <w:rPr>
                <w:rFonts w:ascii="Arial" w:cs="Arial" w:eastAsia="Arial" w:hAnsi="Arial"/>
                <w:color w:val="1A1A1A"/>
                <w:sz w:val="20"/>
                <w:szCs w:val="20"/>
              </w:rPr>
              <w:t xml:space="preserve">&lt;1% (after WMO calibration)</w:t>
            </w:r>
          </w:p>
          <w:p>
            <w:pPr>
              <w:spacing w:after="60"/>
            </w:pPr>
            <w:r>
              <w:rPr>
                <w:rFonts w:ascii="Arial" w:cs="Arial" w:eastAsia="Arial" w:hAnsi="Arial"/>
                <w:b/>
                <w:bCs/>
                <w:color w:val="993C1D"/>
                <w:sz w:val="20"/>
                <w:szCs w:val="20"/>
              </w:rPr>
              <w:t xml:space="preserve">Data storage: </w:t>
            </w:r>
            <w:r>
              <w:rPr>
                <w:rFonts w:ascii="Arial" w:cs="Arial" w:eastAsia="Arial" w:hAnsi="Arial"/>
                <w:color w:val="1A1A1A"/>
                <w:sz w:val="20"/>
                <w:szCs w:val="20"/>
              </w:rPr>
              <w:t xml:space="preserve">Daily CSV files in ./BTS_data/</w:t>
            </w:r>
          </w:p>
        </w:tc>
      </w:tr>
    </w:tbl>
    <w:p>
      <w:pPr>
        <w:spacing w:after="160"/>
      </w:pPr>
      <w:r>
        <w:t xml:space="preserve"/>
      </w:r>
    </w:p>
    <w:p>
      <w:pPr>
        <w:pStyle w:val="Heading1"/>
        <w:pBdr>
          <w:bottom w:val="single" w:color="993C1D" w:sz="8" w:space="4"/>
        </w:pBdr>
        <w:spacing w:after="160" w:before="400"/>
      </w:pPr>
      <w:r>
        <w:rPr>
          <w:rFonts w:ascii="Arial" w:cs="Arial" w:eastAsia="Arial" w:hAnsi="Arial"/>
          <w:b/>
          <w:bCs/>
          <w:color w:val="993C1D"/>
          <w:sz w:val="32"/>
          <w:szCs w:val="32"/>
        </w:rPr>
        <w:t xml:space="preserve">2. Measurement Principle</w:t>
      </w:r>
    </w:p>
    <w:p>
      <w:pPr>
        <w:pStyle w:val="Heading2"/>
        <w:spacing w:after="120" w:before="300"/>
      </w:pPr>
      <w:r>
        <w:rPr>
          <w:rFonts w:ascii="Arial" w:cs="Arial" w:eastAsia="Arial" w:hAnsi="Arial"/>
          <w:b/>
          <w:bCs/>
          <w:color w:val="0F6E56"/>
          <w:sz w:val="26"/>
          <w:szCs w:val="26"/>
        </w:rPr>
        <w:t xml:space="preserve">2.1  UV direct-sun photometry</w:t>
      </w:r>
    </w:p>
    <w:p>
      <w:pPr>
        <w:spacing w:after="140"/>
      </w:pPr>
      <w:r>
        <w:rPr>
          <w:rFonts w:ascii="Arial" w:cs="Arial" w:eastAsia="Arial" w:hAnsi="Arial"/>
          <w:color w:val="1A1A1A"/>
          <w:sz w:val="22"/>
          <w:szCs w:val="22"/>
        </w:rPr>
        <w:t xml:space="preserve">The BTS uses the same measurement principle as all Brewer instruments. It measures the </w:t>
      </w:r>
      <w:r>
        <w:rPr>
          <w:rFonts w:ascii="Arial" w:cs="Arial" w:eastAsia="Arial" w:hAnsi="Arial"/>
          <w:b/>
          <w:bCs/>
          <w:color w:val="1A1A1A"/>
          <w:sz w:val="22"/>
          <w:szCs w:val="22"/>
        </w:rPr>
        <w:t xml:space="preserve">direct solar irradiance</w:t>
      </w:r>
      <w:r>
        <w:rPr>
          <w:rFonts w:ascii="Arial" w:cs="Arial" w:eastAsia="Arial" w:hAnsi="Arial"/>
          <w:color w:val="1A1A1A"/>
          <w:sz w:val="22"/>
          <w:szCs w:val="22"/>
        </w:rPr>
        <w:t xml:space="preserve"> at five UV wavelengths and computes a weighted log-ratio (the F-ratio) that is sensitive to ozone absorption but cancels contributions from Rayleigh scattering, SO₂, and instrumental drift. The ozone column Ω is derived from Beer–Lambert’s law:</w:t>
      </w:r>
    </w:p>
    <w:p>
      <w:pPr>
        <w:spacing w:after="140"/>
        <w:jc w:val="center"/>
      </w:pPr>
      <w:r>
        <w:rPr>
          <w:rFonts w:ascii="Arial" w:cs="Arial" w:eastAsia="Arial" w:hAnsi="Arial"/>
          <w:b/>
          <w:bCs/>
          <w:color w:val="993C1D"/>
          <w:sz w:val="22"/>
          <w:szCs w:val="22"/>
        </w:rPr>
        <w:t xml:space="preserve">Ω = [F_meas − F_0] / (β × μ)</w:t>
      </w:r>
    </w:p>
    <w:p>
      <w:pPr>
        <w:spacing w:after="140"/>
      </w:pPr>
      <w:r>
        <w:rPr>
          <w:rFonts w:ascii="Arial" w:cs="Arial" w:eastAsia="Arial" w:hAnsi="Arial"/>
          <w:color w:val="1A1A1A"/>
          <w:sz w:val="22"/>
          <w:szCs w:val="22"/>
        </w:rPr>
        <w:t xml:space="preserve">where F_0 is the extraterrestrial constant (determined by Langley calibration), β is the differential ozone absorption coefficient, and μ = 1/cos(SZA) is the air mass factor.</w:t>
      </w:r>
    </w:p>
    <w:p>
      <w:pPr>
        <w:spacing w:after="80"/>
      </w:pPr>
      <w:r>
        <w:t xml:space="preserve"/>
      </w:r>
    </w:p>
    <w:p>
      <w:pPr>
        <w:pStyle w:val="Heading2"/>
        <w:spacing w:after="120" w:before="300"/>
      </w:pPr>
      <w:r>
        <w:rPr>
          <w:rFonts w:ascii="Arial" w:cs="Arial" w:eastAsia="Arial" w:hAnsi="Arial"/>
          <w:b/>
          <w:bCs/>
          <w:color w:val="0F6E56"/>
          <w:sz w:val="26"/>
          <w:szCs w:val="26"/>
        </w:rPr>
        <w:t xml:space="preserve">2.2  Transportable use and calibration</w:t>
      </w:r>
    </w:p>
    <w:p>
      <w:pPr>
        <w:spacing w:after="140"/>
      </w:pPr>
      <w:r>
        <w:rPr>
          <w:rFonts w:ascii="Arial" w:cs="Arial" w:eastAsia="Arial" w:hAnsi="Arial"/>
          <w:color w:val="1A1A1A"/>
          <w:sz w:val="22"/>
          <w:szCs w:val="22"/>
        </w:rPr>
        <w:t xml:space="preserve">The BTS is designed to be quickly deployed at field sites while maintaining traceability to the </w:t>
      </w:r>
      <w:r>
        <w:rPr>
          <w:rFonts w:ascii="Arial" w:cs="Arial" w:eastAsia="Arial" w:hAnsi="Arial"/>
          <w:b/>
          <w:bCs/>
          <w:color w:val="1A1A1A"/>
          <w:sz w:val="22"/>
          <w:szCs w:val="22"/>
        </w:rPr>
        <w:t xml:space="preserve">WMO World Standard Group</w:t>
      </w:r>
      <w:r>
        <w:rPr>
          <w:rFonts w:ascii="Arial" w:cs="Arial" w:eastAsia="Arial" w:hAnsi="Arial"/>
          <w:color w:val="1A1A1A"/>
          <w:sz w:val="22"/>
          <w:szCs w:val="22"/>
        </w:rPr>
        <w:t xml:space="preserve"> of reference Brewers. In practice, the BTS is calibrated before and after each deployment campaign, and its measurements are compared against the fixed Brewer MkIII at Sodankylä to detect any calibration drift during the campaign period.</w:t>
      </w:r>
    </w:p>
    <w:p>
      <w:pPr>
        <w:spacing w:after="160"/>
      </w:pPr>
      <w:r>
        <w:t xml:space="preserve"/>
      </w:r>
    </w:p>
    <w:p>
      <w:pPr>
        <w:pStyle w:val="Heading1"/>
        <w:pBdr>
          <w:bottom w:val="single" w:color="993C1D" w:sz="8" w:space="4"/>
        </w:pBdr>
        <w:spacing w:after="160" w:before="400"/>
      </w:pPr>
      <w:r>
        <w:rPr>
          <w:rFonts w:ascii="Arial" w:cs="Arial" w:eastAsia="Arial" w:hAnsi="Arial"/>
          <w:b/>
          <w:bCs/>
          <w:color w:val="993C1D"/>
          <w:sz w:val="32"/>
          <w:szCs w:val="32"/>
        </w:rPr>
        <w:t xml:space="preserve">3. Data Files</w:t>
      </w:r>
    </w:p>
    <w:p>
      <w:pPr>
        <w:pStyle w:val="Heading2"/>
        <w:spacing w:after="120" w:before="300"/>
      </w:pPr>
      <w:r>
        <w:rPr>
          <w:rFonts w:ascii="Arial" w:cs="Arial" w:eastAsia="Arial" w:hAnsi="Arial"/>
          <w:b/>
          <w:bCs/>
          <w:color w:val="0F6E56"/>
          <w:sz w:val="26"/>
          <w:szCs w:val="26"/>
        </w:rPr>
        <w:t xml:space="preserve">3.1  File location and naming</w:t>
      </w:r>
    </w:p>
    <w:p>
      <w:pPr>
        <w:spacing w:after="140"/>
      </w:pPr>
      <w:r>
        <w:rPr>
          <w:rFonts w:ascii="Arial" w:cs="Arial" w:eastAsia="Arial" w:hAnsi="Arial"/>
          <w:color w:val="1A1A1A"/>
          <w:sz w:val="22"/>
          <w:szCs w:val="22"/>
        </w:rPr>
        <w:t xml:space="preserve">BTS data are </w:t>
      </w:r>
      <w:r>
        <w:rPr>
          <w:rFonts w:ascii="Arial" w:cs="Arial" w:eastAsia="Arial" w:hAnsi="Arial"/>
          <w:b/>
          <w:bCs/>
          <w:color w:val="1A1A1A"/>
          <w:sz w:val="22"/>
          <w:szCs w:val="22"/>
        </w:rPr>
        <w:t xml:space="preserve">not downloaded automatically</w:t>
      </w:r>
      <w:r>
        <w:rPr>
          <w:rFonts w:ascii="Arial" w:cs="Arial" w:eastAsia="Arial" w:hAnsi="Arial"/>
          <w:color w:val="1A1A1A"/>
          <w:sz w:val="22"/>
          <w:szCs w:val="22"/>
        </w:rPr>
        <w:t xml:space="preserve">. Daily CSV files must be placed manually into the local </w:t>
      </w:r>
      <w:r>
        <w:rPr>
          <w:rFonts w:ascii="Courier New" w:cs="Courier New" w:eastAsia="Courier New" w:hAnsi="Courier New"/>
          <w:color w:val="993C1D"/>
          <w:sz w:val="20"/>
          <w:szCs w:val="20"/>
        </w:rPr>
        <w:t xml:space="preserve">./BTS_data/</w:t>
      </w:r>
      <w:r>
        <w:rPr>
          <w:rFonts w:ascii="Arial" w:cs="Arial" w:eastAsia="Arial" w:hAnsi="Arial"/>
          <w:color w:val="1A1A1A"/>
          <w:sz w:val="22"/>
          <w:szCs w:val="22"/>
        </w:rPr>
        <w:t xml:space="preserve"> directory. The expected filename pattern is:</w:t>
      </w:r>
    </w:p>
    <w:p>
      <w:pPr>
        <w:spacing w:after="120"/>
      </w:pPr>
      <w:r>
        <w:rPr>
          <w:rFonts w:ascii="Courier New" w:cs="Courier New" w:eastAsia="Courier New" w:hAnsi="Courier New"/>
          <w:color w:val="993C1D"/>
          <w:sz w:val="20"/>
          <w:szCs w:val="20"/>
        </w:rPr>
        <w:t xml:space="preserve">YYYYMMDD_TOC_BTS_66639_V1.csv</w:t>
      </w:r>
    </w:p>
    <w:p>
      <w:pPr>
        <w:spacing w:after="140"/>
      </w:pPr>
      <w:r>
        <w:rPr>
          <w:rFonts w:ascii="Arial" w:cs="Arial" w:eastAsia="Arial" w:hAnsi="Arial"/>
          <w:color w:val="1A1A1A"/>
          <w:sz w:val="22"/>
          <w:szCs w:val="22"/>
        </w:rPr>
        <w:t xml:space="preserve">One file is expected per measurement day.</w:t>
      </w:r>
    </w:p>
    <w:p>
      <w:pPr>
        <w:spacing w:after="80"/>
      </w:pPr>
      <w:r>
        <w:t xml:space="preserve"/>
      </w:r>
    </w:p>
    <w:p>
      <w:pPr>
        <w:pStyle w:val="Heading2"/>
        <w:spacing w:after="120" w:before="300"/>
      </w:pPr>
      <w:r>
        <w:rPr>
          <w:rFonts w:ascii="Arial" w:cs="Arial" w:eastAsia="Arial" w:hAnsi="Arial"/>
          <w:b/>
          <w:bCs/>
          <w:color w:val="0F6E56"/>
          <w:sz w:val="26"/>
          <w:szCs w:val="26"/>
        </w:rPr>
        <w:t xml:space="preserve">3.2  File structure</w:t>
      </w:r>
    </w:p>
    <w:p>
      <w:pPr>
        <w:spacing w:after="140"/>
      </w:pPr>
      <w:r>
        <w:rPr>
          <w:rFonts w:ascii="Arial" w:cs="Arial" w:eastAsia="Arial" w:hAnsi="Arial"/>
          <w:color w:val="1A1A1A"/>
          <w:sz w:val="22"/>
          <w:szCs w:val="22"/>
        </w:rPr>
        <w:t xml:space="preserve">Each CSV file contains a </w:t>
      </w:r>
      <w:r>
        <w:rPr>
          <w:rFonts w:ascii="Arial" w:cs="Arial" w:eastAsia="Arial" w:hAnsi="Arial"/>
          <w:b/>
          <w:bCs/>
          <w:color w:val="1A1A1A"/>
          <w:sz w:val="22"/>
          <w:szCs w:val="22"/>
        </w:rPr>
        <w:t xml:space="preserve">15-line instrument metadata header</w:t>
      </w:r>
      <w:r>
        <w:rPr>
          <w:rFonts w:ascii="Arial" w:cs="Arial" w:eastAsia="Arial" w:hAnsi="Arial"/>
          <w:color w:val="1A1A1A"/>
          <w:sz w:val="22"/>
          <w:szCs w:val="22"/>
        </w:rPr>
        <w:t xml:space="preserve"> followed by a column header row and data rows. Example:</w:t>
      </w:r>
    </w:p>
    <w:p>
      <w:pPr>
        <w:spacing w:after="80"/>
      </w:pPr>
      <w:r>
        <w:t xml:space="preserve"/>
      </w:r>
    </w:p>
    <w:p>
      <w:pPr>
        <w:spacing w:after="80"/>
      </w:pPr>
      <w:r>
        <w:rPr>
          <w:rFonts w:ascii="Courier New" w:cs="Courier New" w:eastAsia="Courier New" w:hAnsi="Courier New"/>
          <w:color w:val="444441"/>
          <w:sz w:val="18"/>
          <w:szCs w:val="18"/>
        </w:rPr>
        <w:t xml:space="preserve">Time (ISO 8601, GMT),Airmass,Ozone (DU),Ozone_STD,Ozone_Uncertainty</w:t>
      </w:r>
    </w:p>
    <w:p>
      <w:pPr>
        <w:spacing w:after="160"/>
      </w:pPr>
      <w:r>
        <w:rPr>
          <w:rFonts w:ascii="Courier New" w:cs="Courier New" w:eastAsia="Courier New" w:hAnsi="Courier New"/>
          <w:color w:val="444441"/>
          <w:sz w:val="18"/>
          <w:szCs w:val="18"/>
        </w:rPr>
        <w:t xml:space="preserve">2026-04-15T05:45:45Z,3.165,381.06,1.528,5.549</w:t>
      </w:r>
    </w:p>
    <w:p>
      <w:pPr>
        <w:spacing w:after="8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5400"/>
      </w:tblGrid>
      <w:tr>
        <w:tc>
          <w:tcPr>
            <w:tcW w:type="dxa" w:w="1800"/>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tcPr>
          <w:p>
            <w:r>
              <w:rPr>
                <w:rFonts w:ascii="Arial" w:cs="Arial" w:eastAsia="Arial" w:hAnsi="Arial"/>
                <w:b/>
                <w:bCs/>
                <w:color w:val="FFFFFF"/>
                <w:sz w:val="20"/>
                <w:szCs w:val="20"/>
              </w:rPr>
              <w:t xml:space="preserve">Unit</w:t>
            </w:r>
          </w:p>
        </w:tc>
        <w:tc>
          <w:tcPr>
            <w:tcW w:type="dxa" w:w="5400"/>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ISO 8601 (UTC)</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 of each measurement (format: YYYY-MM-DDTHH:MM:SSZ)</w:t>
            </w:r>
          </w:p>
        </w:tc>
      </w:tr>
      <w:tr>
        <w:tc>
          <w:tcPr>
            <w:tcW w:type="dxa" w:w="180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1A1A1A"/>
                <w:sz w:val="20"/>
                <w:szCs w:val="20"/>
              </w:rPr>
              <w:t xml:space="preserve">Airmass</w:t>
            </w:r>
          </w:p>
        </w:tc>
        <w:tc>
          <w:tcPr>
            <w:tcW w:type="dxa" w:w="140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540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1A1A1A"/>
                <w:sz w:val="20"/>
                <w:szCs w:val="20"/>
              </w:rPr>
              <w:t xml:space="preserve">Optical air mass factor (= 1/cos(SZA)); unitless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Ozone (DU)</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DU</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Total ozone column in Dobson Units</w:t>
            </w:r>
          </w:p>
        </w:tc>
      </w:tr>
      <w:tr>
        <w:tc>
          <w:tcPr>
            <w:tcW w:type="dxa" w:w="180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1A1A1A"/>
                <w:sz w:val="20"/>
                <w:szCs w:val="20"/>
              </w:rPr>
              <w:t xml:space="preserve">Ozone_STD</w:t>
            </w:r>
          </w:p>
        </w:tc>
        <w:tc>
          <w:tcPr>
            <w:tcW w:type="dxa" w:w="140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1A1A1A"/>
                <w:sz w:val="20"/>
                <w:szCs w:val="20"/>
              </w:rPr>
              <w:t xml:space="preserve">DU</w:t>
            </w:r>
          </w:p>
        </w:tc>
        <w:tc>
          <w:tcPr>
            <w:tcW w:type="dxa" w:w="540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1A1A1A"/>
                <w:sz w:val="20"/>
                <w:szCs w:val="20"/>
              </w:rPr>
              <w:t xml:space="preserve">Standard deviation of ozone over the averaging window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Ozone_Uncertainty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DU</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Combined measurement uncertainty (instrument + statistical)</w:t>
            </w:r>
          </w:p>
        </w:tc>
      </w:tr>
    </w:tbl>
    <w:p>
      <w:pPr>
        <w:spacing w:after="80"/>
      </w:pPr>
      <w:r>
        <w:t xml:space="preserve"/>
      </w:r>
    </w:p>
    <w:p>
      <w:pPr>
        <w:spacing w:after="140"/>
      </w:pPr>
      <w:r>
        <w:rPr>
          <w:rFonts w:ascii="Arial" w:cs="Arial" w:eastAsia="Arial" w:hAnsi="Arial"/>
          <w:color w:val="1A1A1A"/>
          <w:sz w:val="22"/>
          <w:szCs w:val="22"/>
        </w:rPr>
        <w:t xml:space="preserve">Values are already in </w:t>
      </w:r>
      <w:r>
        <w:rPr>
          <w:rFonts w:ascii="Arial" w:cs="Arial" w:eastAsia="Arial" w:hAnsi="Arial"/>
          <w:b/>
          <w:bCs/>
          <w:color w:val="1A1A1A"/>
          <w:sz w:val="22"/>
          <w:szCs w:val="22"/>
        </w:rPr>
        <w:t xml:space="preserve">Dobson Units</w:t>
      </w:r>
      <w:r>
        <w:rPr>
          <w:rFonts w:ascii="Arial" w:cs="Arial" w:eastAsia="Arial" w:hAnsi="Arial"/>
          <w:color w:val="1A1A1A"/>
          <w:sz w:val="22"/>
          <w:szCs w:val="22"/>
        </w:rPr>
        <w:t xml:space="preserve"> — no unit conversion is required in the processing scripts.</w:t>
      </w:r>
    </w:p>
    <w:p>
      <w:pPr>
        <w:spacing w:after="160"/>
      </w:pPr>
      <w:r>
        <w:t xml:space="preserve"/>
      </w:r>
    </w:p>
    <w:p>
      <w:pPr>
        <w:pStyle w:val="Heading2"/>
        <w:spacing w:after="120" w:before="300"/>
      </w:pPr>
      <w:r>
        <w:rPr>
          <w:rFonts w:ascii="Arial" w:cs="Arial" w:eastAsia="Arial" w:hAnsi="Arial"/>
          <w:b/>
          <w:bCs/>
          <w:color w:val="0F6E56"/>
          <w:sz w:val="26"/>
          <w:szCs w:val="26"/>
        </w:rPr>
        <w:t xml:space="preserve">3.3  How data are read by comparison scripts</w:t>
      </w:r>
    </w:p>
    <w:p>
      <w:pPr>
        <w:spacing w:after="140"/>
      </w:pPr>
      <w:r>
        <w:rPr>
          <w:rFonts w:ascii="Arial" w:cs="Arial" w:eastAsia="Arial" w:hAnsi="Arial"/>
          <w:color w:val="1A1A1A"/>
          <w:sz w:val="22"/>
          <w:szCs w:val="22"/>
        </w:rPr>
        <w:t xml:space="preserve">The comparison scripts (</w:t>
      </w:r>
      <w:r>
        <w:rPr>
          <w:rFonts w:ascii="Courier New" w:cs="Courier New" w:eastAsia="Courier New" w:hAnsi="Courier New"/>
          <w:color w:val="993C1D"/>
          <w:sz w:val="20"/>
          <w:szCs w:val="20"/>
        </w:rPr>
        <w:t xml:space="preserve">gs_comparison.py</w:t>
      </w:r>
      <w:r>
        <w:rPr>
          <w:rFonts w:ascii="Arial" w:cs="Arial" w:eastAsia="Arial" w:hAnsi="Arial"/>
          <w:color w:val="1A1A1A"/>
          <w:sz w:val="22"/>
          <w:szCs w:val="22"/>
        </w:rPr>
        <w:t xml:space="preserve">, </w:t>
      </w:r>
      <w:r>
        <w:rPr>
          <w:rFonts w:ascii="Courier New" w:cs="Courier New" w:eastAsia="Courier New" w:hAnsi="Courier New"/>
          <w:color w:val="993C1D"/>
          <w:sz w:val="20"/>
          <w:szCs w:val="20"/>
        </w:rPr>
        <w:t xml:space="preserve">compare.py</w:t>
      </w:r>
      <w:r>
        <w:rPr>
          <w:rFonts w:ascii="Arial" w:cs="Arial" w:eastAsia="Arial" w:hAnsi="Arial"/>
          <w:color w:val="1A1A1A"/>
          <w:sz w:val="22"/>
          <w:szCs w:val="22"/>
        </w:rPr>
        <w:t xml:space="preserve">) scan </w:t>
      </w:r>
      <w:r>
        <w:rPr>
          <w:rFonts w:ascii="Courier New" w:cs="Courier New" w:eastAsia="Courier New" w:hAnsi="Courier New"/>
          <w:color w:val="993C1D"/>
          <w:sz w:val="20"/>
          <w:szCs w:val="20"/>
        </w:rPr>
        <w:t xml:space="preserve">./BTS_data/</w:t>
      </w:r>
      <w:r>
        <w:rPr>
          <w:rFonts w:ascii="Arial" w:cs="Arial" w:eastAsia="Arial" w:hAnsi="Arial"/>
          <w:color w:val="1A1A1A"/>
          <w:sz w:val="22"/>
          <w:szCs w:val="22"/>
        </w:rPr>
        <w:t xml:space="preserve"> for all </w:t>
      </w:r>
      <w:r>
        <w:rPr>
          <w:rFonts w:ascii="Courier New" w:cs="Courier New" w:eastAsia="Courier New" w:hAnsi="Courier New"/>
          <w:color w:val="993C1D"/>
          <w:sz w:val="20"/>
          <w:szCs w:val="20"/>
        </w:rPr>
        <w:t xml:space="preserve">*.csv</w:t>
      </w:r>
      <w:r>
        <w:rPr>
          <w:rFonts w:ascii="Arial" w:cs="Arial" w:eastAsia="Arial" w:hAnsi="Arial"/>
          <w:color w:val="1A1A1A"/>
          <w:sz w:val="22"/>
          <w:szCs w:val="22"/>
        </w:rPr>
        <w:t xml:space="preserve"> files matching the requested date range. For each file, the script:</w:t>
      </w:r>
    </w:p>
    <w:p>
      <w:pPr>
        <w:pStyle w:val="ListParagraph"/>
        <w:numPr>
          <w:ilvl w:val="0"/>
          <w:numId w:val="2"/>
        </w:numPr>
        <w:spacing w:after="80"/>
      </w:pPr>
      <w:r>
        <w:rPr>
          <w:rFonts w:ascii="Arial" w:cs="Arial" w:eastAsia="Arial" w:hAnsi="Arial"/>
          <w:b/>
          <w:bCs/>
          <w:color w:val="185FA5"/>
          <w:sz w:val="22"/>
          <w:szCs w:val="22"/>
        </w:rPr>
        <w:t xml:space="preserve">Skips the 15-line metadata header: </w:t>
      </w:r>
      <w:r>
        <w:rPr>
          <w:rFonts w:ascii="Arial" w:cs="Arial" w:eastAsia="Arial" w:hAnsi="Arial"/>
          <w:color w:val="1A1A1A"/>
          <w:sz w:val="22"/>
          <w:szCs w:val="22"/>
        </w:rPr>
      </w:r>
    </w:p>
    <w:p>
      <w:pPr>
        <w:pStyle w:val="ListParagraph"/>
        <w:numPr>
          <w:ilvl w:val="0"/>
          <w:numId w:val="2"/>
        </w:numPr>
        <w:spacing w:after="80"/>
      </w:pPr>
      <w:r>
        <w:rPr>
          <w:rFonts w:ascii="Arial" w:cs="Arial" w:eastAsia="Arial" w:hAnsi="Arial"/>
          <w:b/>
          <w:bCs/>
          <w:color w:val="185FA5"/>
          <w:sz w:val="22"/>
          <w:szCs w:val="22"/>
        </w:rPr>
        <w:t xml:space="preserve">Locates the column named: </w:t>
      </w:r>
      <w:r>
        <w:rPr>
          <w:rFonts w:ascii="Arial" w:cs="Arial" w:eastAsia="Arial" w:hAnsi="Arial"/>
          <w:color w:val="1A1A1A"/>
          <w:sz w:val="22"/>
          <w:szCs w:val="22"/>
        </w:rPr>
        <w:t xml:space="preserve">"Ozone (DU)" in the header row (dynamic column detection, not fixed index)</w:t>
      </w:r>
    </w:p>
    <w:p>
      <w:pPr>
        <w:pStyle w:val="ListParagraph"/>
        <w:numPr>
          <w:ilvl w:val="0"/>
          <w:numId w:val="2"/>
        </w:numPr>
        <w:spacing w:after="80"/>
      </w:pPr>
      <w:r>
        <w:rPr>
          <w:rFonts w:ascii="Arial" w:cs="Arial" w:eastAsia="Arial" w:hAnsi="Arial"/>
          <w:b/>
          <w:bCs/>
          <w:color w:val="185FA5"/>
          <w:sz w:val="22"/>
          <w:szCs w:val="22"/>
        </w:rPr>
        <w:t xml:space="preserve">Parses each subsequent data row: </w:t>
      </w:r>
      <w:r>
        <w:rPr>
          <w:rFonts w:ascii="Arial" w:cs="Arial" w:eastAsia="Arial" w:hAnsi="Arial"/>
          <w:color w:val="1A1A1A"/>
          <w:sz w:val="22"/>
          <w:szCs w:val="22"/>
        </w:rPr>
        <w:t xml:space="preserve">extracting Time and Ozone (DU) values</w:t>
      </w:r>
    </w:p>
    <w:p>
      <w:pPr>
        <w:pStyle w:val="ListParagraph"/>
        <w:numPr>
          <w:ilvl w:val="0"/>
          <w:numId w:val="2"/>
        </w:numPr>
        <w:spacing w:after="80"/>
      </w:pPr>
      <w:r>
        <w:rPr>
          <w:rFonts w:ascii="Arial" w:cs="Arial" w:eastAsia="Arial" w:hAnsi="Arial"/>
          <w:b/>
          <w:bCs/>
          <w:color w:val="185FA5"/>
          <w:sz w:val="22"/>
          <w:szCs w:val="22"/>
        </w:rPr>
        <w:t xml:space="preserve">Filters rows by date range: </w:t>
      </w:r>
      <w:r>
        <w:rPr>
          <w:rFonts w:ascii="Arial" w:cs="Arial" w:eastAsia="Arial" w:hAnsi="Arial"/>
          <w:color w:val="1A1A1A"/>
          <w:sz w:val="22"/>
          <w:szCs w:val="22"/>
        </w:rPr>
        <w:t xml:space="preserve">and assembles the time series for comparison with other instruments</w:t>
      </w:r>
    </w:p>
    <w:p>
      <w:pPr>
        <w:spacing w:after="140"/>
      </w:pPr>
      <w:r>
        <w:rPr>
          <w:rFonts w:ascii="Arial" w:cs="Arial" w:eastAsia="Arial" w:hAnsi="Arial"/>
          <w:color w:val="1A1A1A"/>
          <w:sz w:val="22"/>
          <w:szCs w:val="22"/>
        </w:rPr>
        <w:t xml:space="preserve">No unit conversion is applied — BTS ozone values are used directly in Dobson Units as provided in the CSV.</w:t>
      </w:r>
    </w:p>
    <w:p>
      <w:pPr>
        <w:spacing w:after="160"/>
      </w:pPr>
      <w:r>
        <w:t xml:space="preserve"/>
      </w:r>
    </w:p>
    <w:p>
      <w:pPr>
        <w:pStyle w:val="Heading1"/>
        <w:pBdr>
          <w:bottom w:val="single" w:color="993C1D" w:sz="8" w:space="4"/>
        </w:pBdr>
        <w:spacing w:after="160" w:before="400"/>
      </w:pPr>
      <w:r>
        <w:rPr>
          <w:rFonts w:ascii="Arial" w:cs="Arial" w:eastAsia="Arial" w:hAnsi="Arial"/>
          <w:b/>
          <w:bCs/>
          <w:color w:val="993C1D"/>
          <w:sz w:val="32"/>
          <w:szCs w:val="32"/>
        </w:rPr>
        <w:t xml:space="preserve">4. Scientific Context &amp; Limitations</w:t>
      </w:r>
    </w:p>
    <w:p>
      <w:pPr>
        <w:pStyle w:val="Heading2"/>
        <w:spacing w:after="120" w:before="300"/>
      </w:pPr>
      <w:r>
        <w:rPr>
          <w:rFonts w:ascii="Arial" w:cs="Arial" w:eastAsia="Arial" w:hAnsi="Arial"/>
          <w:b/>
          <w:bCs/>
          <w:color w:val="0F6E56"/>
          <w:sz w:val="26"/>
          <w:szCs w:val="26"/>
        </w:rPr>
        <w:t xml:space="preserve">4.1  Strengths</w:t>
      </w:r>
    </w:p>
    <w:p>
      <w:pPr>
        <w:pStyle w:val="ListParagraph"/>
        <w:numPr>
          <w:ilvl w:val="0"/>
          <w:numId w:val="2"/>
        </w:numPr>
        <w:spacing w:after="80"/>
      </w:pPr>
      <w:r>
        <w:rPr>
          <w:rFonts w:ascii="Arial" w:cs="Arial" w:eastAsia="Arial" w:hAnsi="Arial"/>
          <w:b/>
          <w:bCs/>
          <w:color w:val="185FA5"/>
          <w:sz w:val="22"/>
          <w:szCs w:val="22"/>
        </w:rPr>
        <w:t xml:space="preserve">WMO-traceable reference: </w:t>
      </w:r>
      <w:r>
        <w:rPr>
          <w:rFonts w:ascii="Arial" w:cs="Arial" w:eastAsia="Arial" w:hAnsi="Arial"/>
          <w:color w:val="1A1A1A"/>
          <w:sz w:val="22"/>
          <w:szCs w:val="22"/>
        </w:rPr>
        <w:t xml:space="preserve">Calibrated against the WMO World Standard Group; provides an independent, absolute reference for total ozone at Sodankylä.</w:t>
      </w:r>
    </w:p>
    <w:p>
      <w:pPr>
        <w:pStyle w:val="ListParagraph"/>
        <w:numPr>
          <w:ilvl w:val="0"/>
          <w:numId w:val="2"/>
        </w:numPr>
        <w:spacing w:after="80"/>
      </w:pPr>
      <w:r>
        <w:rPr>
          <w:rFonts w:ascii="Arial" w:cs="Arial" w:eastAsia="Arial" w:hAnsi="Arial"/>
          <w:b/>
          <w:bCs/>
          <w:color w:val="185FA5"/>
          <w:sz w:val="22"/>
          <w:szCs w:val="22"/>
        </w:rPr>
        <w:t xml:space="preserve">High temporal resolution: </w:t>
      </w:r>
      <w:r>
        <w:rPr>
          <w:rFonts w:ascii="Arial" w:cs="Arial" w:eastAsia="Arial" w:hAnsi="Arial"/>
          <w:color w:val="1A1A1A"/>
          <w:sz w:val="22"/>
          <w:szCs w:val="22"/>
        </w:rPr>
        <w:t xml:space="preserve">Measurements every 2–5 minutes throughout the day, enabling intra-day variability studies.</w:t>
      </w:r>
    </w:p>
    <w:p>
      <w:pPr>
        <w:pStyle w:val="ListParagraph"/>
        <w:numPr>
          <w:ilvl w:val="0"/>
          <w:numId w:val="2"/>
        </w:numPr>
        <w:spacing w:after="80"/>
      </w:pPr>
      <w:r>
        <w:rPr>
          <w:rFonts w:ascii="Arial" w:cs="Arial" w:eastAsia="Arial" w:hAnsi="Arial"/>
          <w:b/>
          <w:bCs/>
          <w:color w:val="185FA5"/>
          <w:sz w:val="22"/>
          <w:szCs w:val="22"/>
        </w:rPr>
        <w:t xml:space="preserve">Cross-validation capability: </w:t>
      </w:r>
      <w:r>
        <w:rPr>
          <w:rFonts w:ascii="Arial" w:cs="Arial" w:eastAsia="Arial" w:hAnsi="Arial"/>
          <w:color w:val="1A1A1A"/>
          <w:sz w:val="22"/>
          <w:szCs w:val="22"/>
        </w:rPr>
        <w:t xml:space="preserve">As a transportable instrument, the BTS can be directly compared side-by-side with the fixed Brewer MkIII to detect calibration biases in either instrument.</w:t>
      </w:r>
    </w:p>
    <w:p>
      <w:pPr>
        <w:pStyle w:val="ListParagraph"/>
        <w:numPr>
          <w:ilvl w:val="0"/>
          <w:numId w:val="2"/>
        </w:numPr>
        <w:spacing w:after="80"/>
      </w:pPr>
      <w:r>
        <w:rPr>
          <w:rFonts w:ascii="Arial" w:cs="Arial" w:eastAsia="Arial" w:hAnsi="Arial"/>
          <w:b/>
          <w:bCs/>
          <w:color w:val="185FA5"/>
          <w:sz w:val="22"/>
          <w:szCs w:val="22"/>
        </w:rPr>
        <w:t xml:space="preserve">Simple CSV format: </w:t>
      </w:r>
      <w:r>
        <w:rPr>
          <w:rFonts w:ascii="Arial" w:cs="Arial" w:eastAsia="Arial" w:hAnsi="Arial"/>
          <w:color w:val="1A1A1A"/>
          <w:sz w:val="22"/>
          <w:szCs w:val="22"/>
        </w:rPr>
        <w:t xml:space="preserve">Data are stored in a straightforward, human-readable format with no proprietary encoding; easy to integrate into Python/R analysis workflows.</w:t>
      </w:r>
    </w:p>
    <w:p>
      <w:pPr>
        <w:spacing w:after="80"/>
      </w:pPr>
      <w:r>
        <w:t xml:space="preserve"/>
      </w:r>
    </w:p>
    <w:p>
      <w:pPr>
        <w:pStyle w:val="Heading2"/>
        <w:spacing w:after="120" w:before="300"/>
      </w:pPr>
      <w:r>
        <w:rPr>
          <w:rFonts w:ascii="Arial" w:cs="Arial" w:eastAsia="Arial" w:hAnsi="Arial"/>
          <w:b/>
          <w:bCs/>
          <w:color w:val="0F6E56"/>
          <w:sz w:val="26"/>
          <w:szCs w:val="26"/>
        </w:rPr>
        <w:t xml:space="preserve">4.2  Limitations</w:t>
      </w:r>
    </w:p>
    <w:p>
      <w:pPr>
        <w:pStyle w:val="ListParagraph"/>
        <w:numPr>
          <w:ilvl w:val="0"/>
          <w:numId w:val="2"/>
        </w:numPr>
        <w:spacing w:after="80"/>
      </w:pPr>
      <w:r>
        <w:rPr>
          <w:rFonts w:ascii="Arial" w:cs="Arial" w:eastAsia="Arial" w:hAnsi="Arial"/>
          <w:b/>
          <w:bCs/>
          <w:color w:val="185FA5"/>
          <w:sz w:val="22"/>
          <w:szCs w:val="22"/>
        </w:rPr>
        <w:t xml:space="preserve">Manual data transfer: </w:t>
      </w:r>
      <w:r>
        <w:rPr>
          <w:rFonts w:ascii="Arial" w:cs="Arial" w:eastAsia="Arial" w:hAnsi="Arial"/>
          <w:color w:val="1A1A1A"/>
          <w:sz w:val="22"/>
          <w:szCs w:val="22"/>
        </w:rPr>
        <w:t xml:space="preserve">No automated download. Files must be manually retrieved from the instrument and placed in BTS_data/. This can cause gaps if the transfer is delayed.</w:t>
      </w:r>
    </w:p>
    <w:p>
      <w:pPr>
        <w:pStyle w:val="ListParagraph"/>
        <w:numPr>
          <w:ilvl w:val="0"/>
          <w:numId w:val="2"/>
        </w:numPr>
        <w:spacing w:after="80"/>
      </w:pPr>
      <w:r>
        <w:rPr>
          <w:rFonts w:ascii="Arial" w:cs="Arial" w:eastAsia="Arial" w:hAnsi="Arial"/>
          <w:b/>
          <w:bCs/>
          <w:color w:val="185FA5"/>
          <w:sz w:val="22"/>
          <w:szCs w:val="22"/>
        </w:rPr>
        <w:t xml:space="preserve">Direct-sun only: </w:t>
      </w:r>
      <w:r>
        <w:rPr>
          <w:rFonts w:ascii="Arial" w:cs="Arial" w:eastAsia="Arial" w:hAnsi="Arial"/>
          <w:color w:val="1A1A1A"/>
          <w:sz w:val="22"/>
          <w:szCs w:val="22"/>
        </w:rPr>
        <w:t xml:space="preserve">Like all Brewer instruments, the BTS requires a clear view of the solar disk. Cloud cover causes data gaps.</w:t>
      </w:r>
    </w:p>
    <w:p>
      <w:pPr>
        <w:pStyle w:val="ListParagraph"/>
        <w:numPr>
          <w:ilvl w:val="0"/>
          <w:numId w:val="2"/>
        </w:numPr>
        <w:spacing w:after="80"/>
      </w:pPr>
      <w:r>
        <w:rPr>
          <w:rFonts w:ascii="Arial" w:cs="Arial" w:eastAsia="Arial" w:hAnsi="Arial"/>
          <w:b/>
          <w:bCs/>
          <w:color w:val="185FA5"/>
          <w:sz w:val="22"/>
          <w:szCs w:val="22"/>
        </w:rPr>
        <w:t xml:space="preserve">No vertical profile: </w:t>
      </w:r>
      <w:r>
        <w:rPr>
          <w:rFonts w:ascii="Arial" w:cs="Arial" w:eastAsia="Arial" w:hAnsi="Arial"/>
          <w:color w:val="1A1A1A"/>
          <w:sz w:val="22"/>
          <w:szCs w:val="22"/>
        </w:rPr>
        <w:t xml:space="preserve">Total column only. BTS data must be combined with ECC ozonesonde or DIAL lidar profiles for altitude-resolved information.</w:t>
      </w:r>
    </w:p>
    <w:p>
      <w:pPr>
        <w:pStyle w:val="ListParagraph"/>
        <w:numPr>
          <w:ilvl w:val="0"/>
          <w:numId w:val="2"/>
        </w:numPr>
        <w:spacing w:after="80"/>
      </w:pPr>
      <w:r>
        <w:rPr>
          <w:rFonts w:ascii="Arial" w:cs="Arial" w:eastAsia="Arial" w:hAnsi="Arial"/>
          <w:b/>
          <w:bCs/>
          <w:color w:val="185FA5"/>
          <w:sz w:val="22"/>
          <w:szCs w:val="22"/>
        </w:rPr>
        <w:t xml:space="preserve">Polar night gap: </w:t>
      </w:r>
      <w:r>
        <w:rPr>
          <w:rFonts w:ascii="Arial" w:cs="Arial" w:eastAsia="Arial" w:hAnsi="Arial"/>
          <w:color w:val="1A1A1A"/>
          <w:sz w:val="22"/>
          <w:szCs w:val="22"/>
        </w:rPr>
        <w:t xml:space="preserve">No measurements when the sun is below the horizon.</w:t>
      </w:r>
    </w:p>
    <w:p>
      <w:pPr>
        <w:pStyle w:val="ListParagraph"/>
        <w:numPr>
          <w:ilvl w:val="0"/>
          <w:numId w:val="2"/>
        </w:numPr>
        <w:spacing w:after="80"/>
      </w:pPr>
      <w:r>
        <w:rPr>
          <w:rFonts w:ascii="Arial" w:cs="Arial" w:eastAsia="Arial" w:hAnsi="Arial"/>
          <w:b/>
          <w:bCs/>
          <w:color w:val="185FA5"/>
          <w:sz w:val="22"/>
          <w:szCs w:val="22"/>
        </w:rPr>
        <w:t xml:space="preserve">Not to be confused with BTS DIAL Lidar: </w:t>
      </w:r>
      <w:r>
        <w:rPr>
          <w:rFonts w:ascii="Arial" w:cs="Arial" w:eastAsia="Arial" w:hAnsi="Arial"/>
          <w:color w:val="1A1A1A"/>
          <w:sz w:val="22"/>
          <w:szCs w:val="22"/>
        </w:rPr>
        <w:t xml:space="preserve">Both instruments share the acronym “BTS” at Sodankylä. The DIAL lidar measures vertical ozone profiles by laser; the BTS #66639 measures total column by UV photometry. File paths and formats are entirely different.</w:t>
      </w:r>
    </w:p>
    <w:p>
      <w:pPr>
        <w:spacing w:after="160"/>
      </w:pPr>
      <w:r>
        <w:t xml:space="preserve"/>
      </w:r>
    </w:p>
    <w:p>
      <w:pPr>
        <w:pBdr>
          <w:top w:val="single" w:color="185FA5" w:sz="4" w:space="4"/>
        </w:pBdr>
        <w:spacing w:after="60" w:before="400"/>
      </w:pPr>
      <w:r>
        <w:rPr>
          <w:rFonts w:ascii="Arial" w:cs="Arial" w:eastAsia="Arial" w:hAnsi="Arial"/>
          <w:color w:val="5F5E5A"/>
          <w:sz w:val="18"/>
          <w:szCs w:val="18"/>
        </w:rPr>
        <w:t xml:space="preserve">FMI Sodankylä Arctic Research Station  ·  BTS Brewer Transportable Spectrometer #66639 — Technical Documentation  ·  June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2026-06-23T07:28:52.527Z</dcterms:created>
  <dcterms:modified xsi:type="dcterms:W3CDTF">2026-06-23T07:28:52.528Z</dcterms:modified>
</cp:coreProperties>
</file>

<file path=docProps/custom.xml><?xml version="1.0" encoding="utf-8"?>
<Properties xmlns="http://schemas.openxmlformats.org/officeDocument/2006/custom-properties" xmlns:vt="http://schemas.openxmlformats.org/officeDocument/2006/docPropsVTypes"/>
</file>