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olor w:val="0F6E56"/>
          <w:sz w:val="20"/>
          <w:szCs w:val="20"/>
        </w:rPr>
        <w:t xml:space="preserve">TECHNICAL DOCUMENTATION</w:t>
      </w:r>
    </w:p>
    <w:p>
      <w:pPr>
        <w:spacing w:after="80"/>
      </w:pPr>
      <w:r>
        <w:rPr>
          <w:rFonts w:ascii="Arial" w:cs="Arial" w:eastAsia="Arial" w:hAnsi="Arial"/>
          <w:b/>
          <w:bCs/>
          <w:color w:val="854F0B"/>
          <w:sz w:val="52"/>
          <w:szCs w:val="52"/>
        </w:rPr>
        <w:t xml:space="preserve">Brewer Spectrophotometer</w:t>
      </w:r>
    </w:p>
    <w:p>
      <w:pPr>
        <w:spacing w:after="40"/>
      </w:pPr>
      <w:r>
        <w:rPr>
          <w:rFonts w:ascii="Arial" w:cs="Arial" w:eastAsia="Arial" w:hAnsi="Arial"/>
          <w:i/>
          <w:iCs/>
          <w:color w:val="5F5E5A"/>
          <w:sz w:val="28"/>
          <w:szCs w:val="28"/>
        </w:rPr>
        <w:t xml:space="preserve">MkIII Double-Monochromator — Kipp &amp; Zonen</w:t>
      </w:r>
    </w:p>
    <w:p>
      <w:pPr>
        <w:spacing w:after="60"/>
      </w:pPr>
      <w:r>
        <w:rPr>
          <w:rFonts w:ascii="Arial" w:cs="Arial" w:eastAsia="Arial" w:hAnsi="Arial"/>
          <w:b/>
          <w:bCs/>
          <w:color w:val="854F0B"/>
          <w:sz w:val="20"/>
          <w:szCs w:val="20"/>
        </w:rPr>
        <w:t xml:space="preserve">Solar UV · Total ozone column · SO₂</w:t>
      </w:r>
    </w:p>
    <w:p>
      <w:pPr>
        <w:spacing w:after="300"/>
      </w:pPr>
      <w:r>
        <w:rPr>
          <w:rFonts w:ascii="Arial" w:cs="Arial" w:eastAsia="Arial" w:hAnsi="Arial"/>
          <w:color w:val="5F5E5A"/>
          <w:sz w:val="22"/>
          <w:szCs w:val="22"/>
        </w:rPr>
        <w:t xml:space="preserve">FMI — Sodankylä Arctic Research Station  ·  67°22’N, 26°38’E</w:t>
      </w:r>
    </w:p>
    <w:p>
      <w:pPr>
        <w:pBdr>
          <w:bottom w:val="single" w:color="854F0B" w:sz="6" w:space="1"/>
        </w:pBdr>
        <w:spacing w:after="300"/>
      </w:pPr>
    </w:p>
    <w:p>
      <w:pPr>
        <w:spacing w:after="160"/>
      </w:pPr>
      <w:r>
        <w:t xml:space="preserve"/>
      </w:r>
    </w:p>
    <w:p>
      <w:pPr>
        <w:pStyle w:val="Heading1"/>
        <w:pBdr>
          <w:bottom w:val="single" w:color="854F0B" w:sz="8" w:space="4"/>
        </w:pBdr>
        <w:spacing w:after="160" w:before="400"/>
      </w:pPr>
      <w:r>
        <w:rPr>
          <w:rFonts w:ascii="Arial" w:cs="Arial" w:eastAsia="Arial" w:hAnsi="Arial"/>
          <w:b/>
          <w:bCs/>
          <w:color w:val="854F0B"/>
          <w:sz w:val="32"/>
          <w:szCs w:val="32"/>
        </w:rPr>
        <w:t xml:space="preserve">1. Instrument Overview</w:t>
      </w:r>
    </w:p>
    <w:p>
      <w:pPr>
        <w:spacing w:after="14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Brewer Spectrophotometer</w:t>
      </w:r>
      <w:r>
        <w:rPr>
          <w:rFonts w:ascii="Arial" w:cs="Arial" w:eastAsia="Arial" w:hAnsi="Arial"/>
          <w:color w:val="1A1A1A"/>
          <w:sz w:val="22"/>
          <w:szCs w:val="22"/>
        </w:rPr>
        <w:t xml:space="preserve"> is a UV double-monochromator instrument originally developed by Alan Brewer at the Atmospheric Environment Service (Canada) in the 1970s, and later commercialized by Kipp &amp; Zonen (Netherlands). It is the primary ground-based reference instrument for total ozone column (TOC) measurements worldwide and has been operated at Sodankylä since the late 1980s. The Sodankylä unit is a </w:t>
      </w:r>
      <w:r>
        <w:rPr>
          <w:rFonts w:ascii="Arial" w:cs="Arial" w:eastAsia="Arial" w:hAnsi="Arial"/>
          <w:b/>
          <w:bCs/>
          <w:color w:val="1A1A1A"/>
          <w:sz w:val="22"/>
          <w:szCs w:val="22"/>
        </w:rPr>
        <w:t xml:space="preserve">MkIII double monochromator</w:t>
      </w:r>
      <w:r>
        <w:rPr>
          <w:rFonts w:ascii="Arial" w:cs="Arial" w:eastAsia="Arial" w:hAnsi="Arial"/>
          <w:color w:val="1A1A1A"/>
          <w:sz w:val="22"/>
          <w:szCs w:val="22"/>
        </w:rPr>
        <w:t xml:space="preserve">, which provides significantly improved stray-light rejection compared to single-monochromator MkII models, making it particularly well-suited for high-precision UV measurements under Arctic conditions.</w:t>
      </w:r>
    </w:p>
    <w:p>
      <w:pPr>
        <w:spacing w:after="140"/>
      </w:pPr>
      <w:r>
        <w:rPr>
          <w:rFonts w:ascii="Arial" w:cs="Arial" w:eastAsia="Arial" w:hAnsi="Arial"/>
          <w:color w:val="1A1A1A"/>
          <w:sz w:val="22"/>
          <w:szCs w:val="22"/>
        </w:rPr>
        <w:t xml:space="preserve">The instrument points directly at the solar disk (or the moon for night measurements at high latitudes) and measures solar irradiance at five discrete UV wavelengths between 306 and 320 nm. Ozone absorbs strongly in this Hartley–Huggins band, and the ratio between strongly absorbed and weakly absorbed wavelengths gives a precise differential signal proportional to the ozone column. The Brewer is the de facto </w:t>
      </w:r>
      <w:r>
        <w:rPr>
          <w:rFonts w:ascii="Arial" w:cs="Arial" w:eastAsia="Arial" w:hAnsi="Arial"/>
          <w:b/>
          <w:bCs/>
          <w:color w:val="1A1A1A"/>
          <w:sz w:val="22"/>
          <w:szCs w:val="22"/>
        </w:rPr>
        <w:t xml:space="preserve">World Meteorological Organization (WMO) reference instrument</w:t>
      </w:r>
      <w:r>
        <w:rPr>
          <w:rFonts w:ascii="Arial" w:cs="Arial" w:eastAsia="Arial" w:hAnsi="Arial"/>
          <w:color w:val="1A1A1A"/>
          <w:sz w:val="22"/>
          <w:szCs w:val="22"/>
        </w:rPr>
        <w:t xml:space="preserve"> for TOC observations and is used globally to calibrate and validate satellite data.</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FAEEDA" w:val="clear"/>
            <w:tcMar>
              <w:top w:type="dxa" w:w="120"/>
              <w:left w:type="dxa" w:w="180"/>
              <w:bottom w:type="dxa" w:w="120"/>
              <w:right w:type="dxa" w:w="180"/>
            </w:tcMar>
          </w:tcPr>
          <w:p>
            <w:pPr>
              <w:spacing w:after="80"/>
            </w:pPr>
            <w:r>
              <w:rPr>
                <w:rFonts w:ascii="Arial" w:cs="Arial" w:eastAsia="Arial" w:hAnsi="Arial"/>
                <w:b/>
                <w:bCs/>
                <w:color w:val="854F0B"/>
                <w:sz w:val="22"/>
                <w:szCs w:val="22"/>
              </w:rPr>
              <w:t xml:space="preserve">Key specifications</w:t>
            </w:r>
          </w:p>
          <w:p>
            <w:pPr>
              <w:spacing w:after="60"/>
            </w:pPr>
            <w:r>
              <w:rPr>
                <w:rFonts w:ascii="Arial" w:cs="Arial" w:eastAsia="Arial" w:hAnsi="Arial"/>
                <w:b/>
                <w:bCs/>
                <w:color w:val="854F0B"/>
                <w:sz w:val="20"/>
                <w:szCs w:val="20"/>
              </w:rPr>
              <w:t xml:space="preserve">Type: </w:t>
            </w:r>
            <w:r>
              <w:rPr>
                <w:rFonts w:ascii="Arial" w:cs="Arial" w:eastAsia="Arial" w:hAnsi="Arial"/>
                <w:color w:val="1A1A1A"/>
                <w:sz w:val="20"/>
                <w:szCs w:val="20"/>
              </w:rPr>
              <w:t xml:space="preserve">Double monochromator (MkIII)</w:t>
            </w:r>
          </w:p>
          <w:p>
            <w:pPr>
              <w:spacing w:after="60"/>
            </w:pPr>
            <w:r>
              <w:rPr>
                <w:rFonts w:ascii="Arial" w:cs="Arial" w:eastAsia="Arial" w:hAnsi="Arial"/>
                <w:b/>
                <w:bCs/>
                <w:color w:val="854F0B"/>
                <w:sz w:val="20"/>
                <w:szCs w:val="20"/>
              </w:rPr>
              <w:t xml:space="preserve">Manufacturer: </w:t>
            </w:r>
            <w:r>
              <w:rPr>
                <w:rFonts w:ascii="Arial" w:cs="Arial" w:eastAsia="Arial" w:hAnsi="Arial"/>
                <w:color w:val="1A1A1A"/>
                <w:sz w:val="20"/>
                <w:szCs w:val="20"/>
              </w:rPr>
              <w:t xml:space="preserve">Kipp &amp; Zonen (Netherlands)</w:t>
            </w:r>
          </w:p>
          <w:p>
            <w:pPr>
              <w:spacing w:after="60"/>
            </w:pPr>
            <w:r>
              <w:rPr>
                <w:rFonts w:ascii="Arial" w:cs="Arial" w:eastAsia="Arial" w:hAnsi="Arial"/>
                <w:b/>
                <w:bCs/>
                <w:color w:val="854F0B"/>
                <w:sz w:val="20"/>
                <w:szCs w:val="20"/>
              </w:rPr>
              <w:t xml:space="preserve">Measurement wavelengths: </w:t>
            </w:r>
            <w:r>
              <w:rPr>
                <w:rFonts w:ascii="Arial" w:cs="Arial" w:eastAsia="Arial" w:hAnsi="Arial"/>
                <w:color w:val="1A1A1A"/>
                <w:sz w:val="20"/>
                <w:szCs w:val="20"/>
              </w:rPr>
              <w:t xml:space="preserve">306.3, 310.1, 313.5, 316.8, 320.1 nm</w:t>
            </w:r>
          </w:p>
          <w:p>
            <w:pPr>
              <w:spacing w:after="60"/>
            </w:pPr>
            <w:r>
              <w:rPr>
                <w:rFonts w:ascii="Arial" w:cs="Arial" w:eastAsia="Arial" w:hAnsi="Arial"/>
                <w:b/>
                <w:bCs/>
                <w:color w:val="854F0B"/>
                <w:sz w:val="20"/>
                <w:szCs w:val="20"/>
              </w:rPr>
              <w:t xml:space="preserve">Spectral resolution: </w:t>
            </w:r>
            <w:r>
              <w:rPr>
                <w:rFonts w:ascii="Arial" w:cs="Arial" w:eastAsia="Arial" w:hAnsi="Arial"/>
                <w:color w:val="1A1A1A"/>
                <w:sz w:val="20"/>
                <w:szCs w:val="20"/>
              </w:rPr>
              <w:t xml:space="preserve">~0.6 nm (FWHM)</w:t>
            </w:r>
          </w:p>
          <w:p>
            <w:pPr>
              <w:spacing w:after="60"/>
            </w:pPr>
            <w:r>
              <w:rPr>
                <w:rFonts w:ascii="Arial" w:cs="Arial" w:eastAsia="Arial" w:hAnsi="Arial"/>
                <w:b/>
                <w:bCs/>
                <w:color w:val="854F0B"/>
                <w:sz w:val="20"/>
                <w:szCs w:val="20"/>
              </w:rPr>
              <w:t xml:space="preserve">Measurement geometry: </w:t>
            </w:r>
            <w:r>
              <w:rPr>
                <w:rFonts w:ascii="Arial" w:cs="Arial" w:eastAsia="Arial" w:hAnsi="Arial"/>
                <w:color w:val="1A1A1A"/>
                <w:sz w:val="20"/>
                <w:szCs w:val="20"/>
              </w:rPr>
              <w:t xml:space="preserve">Direct sun / Moon / Zenith sky</w:t>
            </w:r>
          </w:p>
          <w:p>
            <w:pPr>
              <w:spacing w:after="60"/>
            </w:pPr>
            <w:r>
              <w:rPr>
                <w:rFonts w:ascii="Arial" w:cs="Arial" w:eastAsia="Arial" w:hAnsi="Arial"/>
                <w:b/>
                <w:bCs/>
                <w:color w:val="854F0B"/>
                <w:sz w:val="20"/>
                <w:szCs w:val="20"/>
              </w:rPr>
              <w:t xml:space="preserve">Derived products: </w:t>
            </w:r>
            <w:r>
              <w:rPr>
                <w:rFonts w:ascii="Arial" w:cs="Arial" w:eastAsia="Arial" w:hAnsi="Arial"/>
                <w:color w:val="1A1A1A"/>
                <w:sz w:val="20"/>
                <w:szCs w:val="20"/>
              </w:rPr>
              <w:t xml:space="preserve">Total O₃ column, SO₂ column, UV index, UV-B irradiance</w:t>
            </w:r>
          </w:p>
          <w:p>
            <w:pPr>
              <w:spacing w:after="60"/>
            </w:pPr>
            <w:r>
              <w:rPr>
                <w:rFonts w:ascii="Arial" w:cs="Arial" w:eastAsia="Arial" w:hAnsi="Arial"/>
                <w:b/>
                <w:bCs/>
                <w:color w:val="854F0B"/>
                <w:sz w:val="20"/>
                <w:szCs w:val="20"/>
              </w:rPr>
              <w:t xml:space="preserve">Temporal resolution: </w:t>
            </w:r>
            <w:r>
              <w:rPr>
                <w:rFonts w:ascii="Arial" w:cs="Arial" w:eastAsia="Arial" w:hAnsi="Arial"/>
                <w:color w:val="1A1A1A"/>
                <w:sz w:val="20"/>
                <w:szCs w:val="20"/>
              </w:rPr>
              <w:t xml:space="preserve">~2–5 min (direct sun, continuous during daylight)</w:t>
            </w:r>
          </w:p>
          <w:p>
            <w:pPr>
              <w:spacing w:after="60"/>
            </w:pPr>
            <w:r>
              <w:rPr>
                <w:rFonts w:ascii="Arial" w:cs="Arial" w:eastAsia="Arial" w:hAnsi="Arial"/>
                <w:b/>
                <w:bCs/>
                <w:color w:val="854F0B"/>
                <w:sz w:val="20"/>
                <w:szCs w:val="20"/>
              </w:rPr>
              <w:t xml:space="preserve">Accuracy (O₃): </w:t>
            </w:r>
            <w:r>
              <w:rPr>
                <w:rFonts w:ascii="Arial" w:cs="Arial" w:eastAsia="Arial" w:hAnsi="Arial"/>
                <w:color w:val="1A1A1A"/>
                <w:sz w:val="20"/>
                <w:szCs w:val="20"/>
              </w:rPr>
              <w:t xml:space="preserve">&lt;1% (absolute, after WMO calibration)</w:t>
            </w:r>
          </w:p>
          <w:p>
            <w:pPr>
              <w:spacing w:after="60"/>
            </w:pPr>
            <w:r>
              <w:rPr>
                <w:rFonts w:ascii="Arial" w:cs="Arial" w:eastAsia="Arial" w:hAnsi="Arial"/>
                <w:b/>
                <w:bCs/>
                <w:color w:val="854F0B"/>
                <w:sz w:val="20"/>
                <w:szCs w:val="20"/>
              </w:rPr>
              <w:t xml:space="preserve">SZA operating range: </w:t>
            </w:r>
            <w:r>
              <w:rPr>
                <w:rFonts w:ascii="Arial" w:cs="Arial" w:eastAsia="Arial" w:hAnsi="Arial"/>
                <w:color w:val="1A1A1A"/>
                <w:sz w:val="20"/>
                <w:szCs w:val="20"/>
              </w:rPr>
              <w:t xml:space="preserve">0°–80° (direct sun); up to ~86° (zenith)</w:t>
            </w:r>
          </w:p>
        </w:tc>
      </w:tr>
    </w:tbl>
    <w:p>
      <w:pPr>
        <w:spacing w:after="160"/>
      </w:pPr>
      <w:r>
        <w:t xml:space="preserve"/>
      </w:r>
    </w:p>
    <w:p>
      <w:pPr>
        <w:pStyle w:val="Heading1"/>
        <w:pBdr>
          <w:bottom w:val="single" w:color="854F0B" w:sz="8" w:space="4"/>
        </w:pBdr>
        <w:spacing w:after="160" w:before="400"/>
      </w:pPr>
      <w:r>
        <w:rPr>
          <w:rFonts w:ascii="Arial" w:cs="Arial" w:eastAsia="Arial" w:hAnsi="Arial"/>
          <w:b/>
          <w:bCs/>
          <w:color w:val="854F0B"/>
          <w:sz w:val="32"/>
          <w:szCs w:val="32"/>
        </w:rPr>
        <w:t xml:space="preserve">2. Measurement Principle</w:t>
      </w:r>
    </w:p>
    <w:p>
      <w:pPr>
        <w:pStyle w:val="Heading2"/>
        <w:spacing w:after="120" w:before="300"/>
      </w:pPr>
      <w:r>
        <w:rPr>
          <w:rFonts w:ascii="Arial" w:cs="Arial" w:eastAsia="Arial" w:hAnsi="Arial"/>
          <w:b/>
          <w:bCs/>
          <w:color w:val="0F6E56"/>
          <w:sz w:val="26"/>
          <w:szCs w:val="26"/>
        </w:rPr>
        <w:t xml:space="preserve">2.1  Direct-sun UV spectrophotometry</w:t>
      </w:r>
    </w:p>
    <w:p>
      <w:pPr>
        <w:spacing w:after="140"/>
      </w:pPr>
      <w:r>
        <w:rPr>
          <w:rFonts w:ascii="Arial" w:cs="Arial" w:eastAsia="Arial" w:hAnsi="Arial"/>
          <w:color w:val="1A1A1A"/>
          <w:sz w:val="22"/>
          <w:szCs w:val="22"/>
        </w:rPr>
        <w:t xml:space="preserve">The Brewer measures the intensity of direct solar radiation at five UV wavelengths in the Hartley–Huggins ozone absorption band. The fundamental equation is Beer–Lambert’s law: the optical depth τ(λ) = σO₃(λ) × Ω × μ, where σO₃(λ) is the ozone absorption cross-section at wavelength λ, Ω is the ozone column in Dobson Units, and μ is the air mass factor (1/cos(SZA)).</w:t>
      </w:r>
    </w:p>
    <w:p>
      <w:pPr>
        <w:spacing w:after="140"/>
      </w:pPr>
      <w:r>
        <w:rPr>
          <w:rFonts w:ascii="Arial" w:cs="Arial" w:eastAsia="Arial" w:hAnsi="Arial"/>
          <w:color w:val="1A1A1A"/>
          <w:sz w:val="22"/>
          <w:szCs w:val="22"/>
        </w:rPr>
        <w:t xml:space="preserve">By combining measurements at four wavelengths in a weighted double ratio (the </w:t>
      </w:r>
      <w:r>
        <w:rPr>
          <w:rFonts w:ascii="Arial" w:cs="Arial" w:eastAsia="Arial" w:hAnsi="Arial"/>
          <w:b/>
          <w:bCs/>
          <w:color w:val="1A1A1A"/>
          <w:sz w:val="22"/>
          <w:szCs w:val="22"/>
        </w:rPr>
        <w:t xml:space="preserve">F-ratio</w:t>
      </w:r>
      <w:r>
        <w:rPr>
          <w:rFonts w:ascii="Arial" w:cs="Arial" w:eastAsia="Arial" w:hAnsi="Arial"/>
          <w:color w:val="1A1A1A"/>
          <w:sz w:val="22"/>
          <w:szCs w:val="22"/>
        </w:rPr>
        <w:t xml:space="preserve">), the Brewer cancels contributions from Rayleigh scattering, SO₂, and instrument drift, leaving a signal that depends linearly on the ozone column. The final column is derived as: Ω = [F_meas − F_0] / (β × μ), where F_0 is the extraterrestrial constant determined by Langley calibration, and β is the ozone differential absorption coefficient.</w:t>
      </w:r>
    </w:p>
    <w:p>
      <w:pPr>
        <w:spacing w:after="80"/>
      </w:pPr>
      <w:r>
        <w:t xml:space="preserve"/>
      </w:r>
    </w:p>
    <w:p>
      <w:pPr>
        <w:pStyle w:val="Heading2"/>
        <w:spacing w:after="120" w:before="300"/>
      </w:pPr>
      <w:r>
        <w:rPr>
          <w:rFonts w:ascii="Arial" w:cs="Arial" w:eastAsia="Arial" w:hAnsi="Arial"/>
          <w:b/>
          <w:bCs/>
          <w:color w:val="0F6E56"/>
          <w:sz w:val="26"/>
          <w:szCs w:val="26"/>
        </w:rPr>
        <w:t xml:space="preserve">2.2  Calibration and WMO traceability</w:t>
      </w:r>
    </w:p>
    <w:p>
      <w:pPr>
        <w:spacing w:after="140"/>
      </w:pPr>
      <w:r>
        <w:rPr>
          <w:rFonts w:ascii="Arial" w:cs="Arial" w:eastAsia="Arial" w:hAnsi="Arial"/>
          <w:color w:val="1A1A1A"/>
          <w:sz w:val="22"/>
          <w:szCs w:val="22"/>
        </w:rPr>
        <w:t xml:space="preserve">Brewer instruments are calibrated against the </w:t>
      </w:r>
      <w:r>
        <w:rPr>
          <w:rFonts w:ascii="Arial" w:cs="Arial" w:eastAsia="Arial" w:hAnsi="Arial"/>
          <w:b/>
          <w:bCs/>
          <w:color w:val="1A1A1A"/>
          <w:sz w:val="22"/>
          <w:szCs w:val="22"/>
        </w:rPr>
        <w:t xml:space="preserve">WMO World Standard Group</w:t>
      </w:r>
      <w:r>
        <w:rPr>
          <w:rFonts w:ascii="Arial" w:cs="Arial" w:eastAsia="Arial" w:hAnsi="Arial"/>
          <w:color w:val="1A1A1A"/>
          <w:sz w:val="22"/>
          <w:szCs w:val="22"/>
        </w:rPr>
        <w:t xml:space="preserve"> of four reference Brewers maintained by Environment and Climate Change Canada. The Sodankylä Brewer participates in </w:t>
      </w:r>
      <w:r>
        <w:rPr>
          <w:rFonts w:ascii="Arial" w:cs="Arial" w:eastAsia="Arial" w:hAnsi="Arial"/>
          <w:b/>
          <w:bCs/>
          <w:color w:val="1A1A1A"/>
          <w:sz w:val="22"/>
          <w:szCs w:val="22"/>
        </w:rPr>
        <w:t xml:space="preserve">Regional Brewer Calibration Centre — Europe (RBCC-E)</w:t>
      </w:r>
      <w:r>
        <w:rPr>
          <w:rFonts w:ascii="Arial" w:cs="Arial" w:eastAsia="Arial" w:hAnsi="Arial"/>
          <w:color w:val="1A1A1A"/>
          <w:sz w:val="22"/>
          <w:szCs w:val="22"/>
        </w:rPr>
        <w:t xml:space="preserve"> campaigns. Calibration coefficients are updated regularly to account for grating ageing and detector sensitivity drift.</w:t>
      </w:r>
    </w:p>
    <w:p>
      <w:pPr>
        <w:spacing w:after="160"/>
      </w:pPr>
      <w:r>
        <w:t xml:space="preserve"/>
      </w:r>
    </w:p>
    <w:p>
      <w:pPr>
        <w:pStyle w:val="Heading1"/>
        <w:pBdr>
          <w:bottom w:val="single" w:color="854F0B" w:sz="8" w:space="4"/>
        </w:pBdr>
        <w:spacing w:after="160" w:before="400"/>
      </w:pPr>
      <w:r>
        <w:rPr>
          <w:rFonts w:ascii="Arial" w:cs="Arial" w:eastAsia="Arial" w:hAnsi="Arial"/>
          <w:b/>
          <w:bCs/>
          <w:color w:val="854F0B"/>
          <w:sz w:val="32"/>
          <w:szCs w:val="32"/>
        </w:rPr>
        <w:t xml:space="preserve">3. Data Output — File Format</w:t>
      </w:r>
    </w:p>
    <w:p>
      <w:pPr>
        <w:pStyle w:val="Heading2"/>
        <w:spacing w:after="120" w:before="300"/>
      </w:pPr>
      <w:r>
        <w:rPr>
          <w:rFonts w:ascii="Arial" w:cs="Arial" w:eastAsia="Arial" w:hAnsi="Arial"/>
          <w:b/>
          <w:bCs/>
          <w:color w:val="0F6E56"/>
          <w:sz w:val="26"/>
          <w:szCs w:val="26"/>
        </w:rPr>
        <w:t xml:space="preserve">3.1  Derived products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1800"/>
      </w:tblGrid>
      <w:tr>
        <w:tc>
          <w:tcPr>
            <w:tcW w:type="dxa" w:w="26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Typical precision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O₃ column (DS)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sun (4-wavelength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&lt;1%</w:t>
            </w:r>
          </w:p>
        </w:tc>
      </w:tr>
      <w:tr>
        <w:tc>
          <w:tcPr>
            <w:tcW w:type="dxa" w:w="2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Total O₃ column (ZS)</w:t>
            </w:r>
          </w:p>
        </w:tc>
        <w:tc>
          <w:tcPr>
            <w:tcW w:type="dxa" w:w="14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DU</w:t>
            </w:r>
          </w:p>
        </w:tc>
        <w:tc>
          <w:tcPr>
            <w:tcW w:type="dxa" w:w="2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Zenith sky (DOAS)</w:t>
            </w:r>
          </w:p>
        </w:tc>
        <w:tc>
          <w:tcPr>
            <w:tcW w:type="dxa" w:w="1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SO₂ column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sun (4-wavelength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DU</w:t>
            </w:r>
          </w:p>
        </w:tc>
      </w:tr>
      <w:tr>
        <w:tc>
          <w:tcPr>
            <w:tcW w:type="dxa" w:w="26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UV-B irradiance</w:t>
            </w:r>
          </w:p>
        </w:tc>
        <w:tc>
          <w:tcPr>
            <w:tcW w:type="dxa" w:w="14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W m⁻² nm⁻¹</w:t>
            </w:r>
          </w:p>
        </w:tc>
        <w:tc>
          <w:tcPr>
            <w:tcW w:type="dxa" w:w="2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Spectral scan 290–325 nm</w:t>
            </w:r>
          </w:p>
        </w:tc>
        <w:tc>
          <w:tcPr>
            <w:tcW w:type="dxa" w:w="1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UV Index (UVI)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CIE-weighted irradiance integral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r>
    </w:tbl>
    <w:p>
      <w:pPr>
        <w:spacing w:after="160"/>
      </w:pPr>
      <w:r>
        <w:t xml:space="preserve"/>
      </w:r>
    </w:p>
    <w:p>
      <w:pPr>
        <w:pStyle w:val="Heading2"/>
        <w:spacing w:after="120" w:before="300"/>
      </w:pPr>
      <w:r>
        <w:rPr>
          <w:rFonts w:ascii="Arial" w:cs="Arial" w:eastAsia="Arial" w:hAnsi="Arial"/>
          <w:b/>
          <w:bCs/>
          <w:color w:val="0F6E56"/>
          <w:sz w:val="26"/>
          <w:szCs w:val="26"/>
        </w:rPr>
        <w:t xml:space="preserve">3.2  Standard output files</w:t>
      </w:r>
    </w:p>
    <w:p>
      <w:pPr>
        <w:spacing w:after="140"/>
      </w:pPr>
      <w:r>
        <w:rPr>
          <w:rFonts w:ascii="Arial" w:cs="Arial" w:eastAsia="Arial" w:hAnsi="Arial"/>
          <w:color w:val="1A1A1A"/>
          <w:sz w:val="22"/>
          <w:szCs w:val="22"/>
        </w:rPr>
        <w:t xml:space="preserve">Brewer data are distributed in the </w:t>
      </w:r>
      <w:r>
        <w:rPr>
          <w:rFonts w:ascii="Arial" w:cs="Arial" w:eastAsia="Arial" w:hAnsi="Arial"/>
          <w:b/>
          <w:bCs/>
          <w:color w:val="1A1A1A"/>
          <w:sz w:val="22"/>
          <w:szCs w:val="22"/>
        </w:rPr>
        <w:t xml:space="preserve">WOUDC standard format</w:t>
      </w:r>
      <w:r>
        <w:rPr>
          <w:rFonts w:ascii="Arial" w:cs="Arial" w:eastAsia="Arial" w:hAnsi="Arial"/>
          <w:color w:val="1A1A1A"/>
          <w:sz w:val="22"/>
          <w:szCs w:val="22"/>
        </w:rPr>
        <w:t xml:space="preserve"> (.B files), accessible via the World Ozone and Ultraviolet Radiation Data Centre (WOUDC, Canada). Each daily file contains header metadata (serial number, location, calibration constants) and time-stamped measurement blocks.</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c>
          <w:tcPr>
            <w:tcW w:type="dxa" w:w="2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 Time (UTC)</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of each individual measurement</w:t>
            </w:r>
          </w:p>
        </w:tc>
      </w:tr>
      <w:tr>
        <w:tc>
          <w:tcPr>
            <w:tcW w:type="dxa" w:w="2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SZA</w:t>
            </w:r>
          </w:p>
        </w:tc>
        <w:tc>
          <w:tcPr>
            <w:tcW w:type="dxa" w:w="5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Solar zenith angle at measurement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O3DS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Ozone column — direct sun (DU)</w:t>
            </w:r>
          </w:p>
        </w:tc>
      </w:tr>
      <w:tr>
        <w:tc>
          <w:tcPr>
            <w:tcW w:type="dxa" w:w="2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O3ZS</w:t>
            </w:r>
          </w:p>
        </w:tc>
        <w:tc>
          <w:tcPr>
            <w:tcW w:type="dxa" w:w="5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Ozone column — zenith sky (DU)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Sulphur dioxide column (DU)</w:t>
            </w:r>
          </w:p>
        </w:tc>
      </w:tr>
      <w:tr>
        <w:tc>
          <w:tcPr>
            <w:tcW w:type="dxa" w:w="2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F-value</w:t>
            </w:r>
          </w:p>
        </w:tc>
        <w:tc>
          <w:tcPr>
            <w:tcW w:type="dxa" w:w="5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Raw weighted wavelength ratio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 (instrument)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temperature (°C)</w:t>
            </w:r>
          </w:p>
        </w:tc>
      </w:tr>
      <w:tr>
        <w:tc>
          <w:tcPr>
            <w:tcW w:type="dxa" w:w="2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Quality flag</w:t>
            </w:r>
          </w:p>
        </w:tc>
        <w:tc>
          <w:tcPr>
            <w:tcW w:type="dxa" w:w="58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0 = valid, other codes per WOUDC convention</w:t>
            </w:r>
          </w:p>
        </w:tc>
      </w:tr>
    </w:tbl>
    <w:p>
      <w:pPr>
        <w:spacing w:after="160"/>
      </w:pPr>
      <w:r>
        <w:t xml:space="preserve"/>
      </w:r>
    </w:p>
    <w:p>
      <w:pPr>
        <w:pStyle w:val="Heading2"/>
        <w:spacing w:after="120" w:before="300"/>
      </w:pPr>
      <w:r>
        <w:rPr>
          <w:rFonts w:ascii="Arial" w:cs="Arial" w:eastAsia="Arial" w:hAnsi="Arial"/>
          <w:b/>
          <w:bCs/>
          <w:color w:val="0F6E56"/>
          <w:sz w:val="26"/>
          <w:szCs w:val="26"/>
        </w:rPr>
        <w:t xml:space="preserve">3.3  Using the download script (download_brewer.py)</w:t>
      </w:r>
    </w:p>
    <w:p>
      <w:pPr>
        <w:spacing w:after="140"/>
      </w:pPr>
      <w:r>
        <w:rPr>
          <w:rFonts w:ascii="Arial" w:cs="Arial" w:eastAsia="Arial" w:hAnsi="Arial"/>
          <w:color w:val="1A1A1A"/>
          <w:sz w:val="22"/>
          <w:szCs w:val="22"/>
        </w:rPr>
        <w:t xml:space="preserve">A Python download script is provided to retrieve Brewer data from the </w:t>
      </w:r>
      <w:r>
        <w:rPr>
          <w:rFonts w:ascii="Arial" w:cs="Arial" w:eastAsia="Arial" w:hAnsi="Arial"/>
          <w:b/>
          <w:bCs/>
          <w:color w:val="1A1A1A"/>
          <w:sz w:val="22"/>
          <w:szCs w:val="22"/>
        </w:rPr>
        <w:t xml:space="preserve">EUBREWNET platform</w:t>
      </w:r>
      <w:r>
        <w:rPr>
          <w:rFonts w:ascii="Arial" w:cs="Arial" w:eastAsia="Arial" w:hAnsi="Arial"/>
          <w:color w:val="1A1A1A"/>
          <w:sz w:val="22"/>
          <w:szCs w:val="22"/>
        </w:rPr>
        <w:t xml:space="preserve"> (European Brewer Network, operated by AEMET). Configuration is set at the top of the file:</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c>
          <w:tcPr>
            <w:tcW w:type="dxa" w:w="32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4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20"/>
                <w:szCs w:val="20"/>
              </w:rPr>
              <w:t xml:space="preserve">Value / 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STATION_ID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BREWER_IDS</w:t>
            </w:r>
          </w:p>
        </w:tc>
        <w:tc>
          <w:tcPr>
            <w:tcW w:type="dxa" w:w="54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["037", "214"]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"ozone"</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LEVEL</w:t>
            </w:r>
          </w:p>
        </w:tc>
        <w:tc>
          <w:tcPr>
            <w:tcW w:type="dxa" w:w="5400"/>
            <w:tcBorders>
              <w:top w:val="single" w:color="CCCCCC" w:sz="1"/>
              <w:left w:val="single" w:color="CCCCCC" w:sz="1"/>
              <w:bottom w:val="single" w:color="CCCCCC" w:sz="1"/>
              <w:right w:val="single" w:color="CCCCCC" w:sz="1"/>
            </w:tcBorders>
            <w:shd w:fill="F5F3EF" w:val="clear"/>
            <w:tcMar>
              <w:top w:type="dxa" w:w="80"/>
              <w:left w:type="dxa" w:w="120"/>
              <w:bottom w:type="dxa" w:w="80"/>
              <w:right w:type="dxa" w:w="120"/>
            </w:tcMar>
          </w:tcPr>
          <w:p>
            <w:r>
              <w:rPr>
                <w:rFonts w:ascii="Arial" w:cs="Arial" w:eastAsia="Arial" w:hAnsi="Arial"/>
                <w:color w:val="1A1A1A"/>
                <w:sz w:val="20"/>
                <w:szCs w:val="20"/>
              </w:rPr>
              <w:t xml:space="preserve">"1.5"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DATE_START / DATE_END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"YYYY-MM-DD"</w:t>
            </w:r>
          </w:p>
        </w:tc>
      </w:tr>
    </w:tbl>
    <w:p>
      <w:pPr>
        <w:spacing w:after="80"/>
      </w:pPr>
      <w:r>
        <w:t xml:space="preserve"/>
      </w:r>
    </w:p>
    <w:p>
      <w:pPr>
        <w:spacing w:after="140"/>
      </w:pPr>
      <w:r>
        <w:rPr>
          <w:rFonts w:ascii="Arial" w:cs="Arial" w:eastAsia="Arial" w:hAnsi="Arial"/>
          <w:color w:val="1A1A1A"/>
          <w:sz w:val="22"/>
          <w:szCs w:val="22"/>
        </w:rPr>
        <w:t xml:space="preserve">Credentials are read from a </w:t>
      </w:r>
      <w:r>
        <w:rPr>
          <w:rFonts w:ascii="Courier New" w:cs="Courier New" w:eastAsia="Courier New" w:hAnsi="Courier New"/>
          <w:color w:val="993C1D"/>
          <w:sz w:val="20"/>
          <w:szCs w:val="20"/>
        </w:rPr>
        <w:t xml:space="preserve">.env</w:t>
      </w:r>
      <w:r>
        <w:rPr>
          <w:rFonts w:ascii="Arial" w:cs="Arial" w:eastAsia="Arial" w:hAnsi="Arial"/>
          <w:color w:val="1A1A1A"/>
          <w:sz w:val="22"/>
          <w:szCs w:val="22"/>
        </w:rPr>
        <w:t xml:space="preserve"> file containing </w:t>
      </w:r>
      <w:r>
        <w:rPr>
          <w:rFonts w:ascii="Courier New" w:cs="Courier New" w:eastAsia="Courier New" w:hAnsi="Courier New"/>
          <w:color w:val="993C1D"/>
          <w:sz w:val="20"/>
          <w:szCs w:val="20"/>
        </w:rPr>
        <w:t xml:space="preserve">EUBREWNET_USER</w:t>
      </w:r>
      <w:r>
        <w:rPr>
          <w:rFonts w:ascii="Arial" w:cs="Arial" w:eastAsia="Arial" w:hAnsi="Arial"/>
          <w:color w:val="1A1A1A"/>
          <w:sz w:val="22"/>
          <w:szCs w:val="22"/>
        </w:rPr>
        <w:t xml:space="preserve"> and </w:t>
      </w:r>
      <w:r>
        <w:rPr>
          <w:rFonts w:ascii="Courier New" w:cs="Courier New" w:eastAsia="Courier New" w:hAnsi="Courier New"/>
          <w:color w:val="993C1D"/>
          <w:sz w:val="20"/>
          <w:szCs w:val="20"/>
        </w:rPr>
        <w:t xml:space="preserve">EUBREWNET_PASS</w:t>
      </w:r>
      <w:r>
        <w:rPr>
          <w:rFonts w:ascii="Arial" w:cs="Arial" w:eastAsia="Arial" w:hAnsi="Arial"/>
          <w:color w:val="1A1A1A"/>
          <w:sz w:val="22"/>
          <w:szCs w:val="22"/>
        </w:rPr>
        <w:t xml:space="preserve">. A free account is required at:</w:t>
      </w:r>
    </w:p>
    <w:p>
      <w:pPr>
        <w:spacing w:after="120"/>
      </w:pPr>
      <w:r>
        <w:rPr>
          <w:rFonts w:ascii="Courier New" w:cs="Courier New" w:eastAsia="Courier New" w:hAnsi="Courier New"/>
          <w:color w:val="993C1D"/>
          <w:sz w:val="20"/>
          <w:szCs w:val="20"/>
        </w:rPr>
        <w:t xml:space="preserve">https://eubrewnet.aemet.es/eubrewnet/default/registration</w:t>
      </w:r>
    </w:p>
    <w:p>
      <w:pPr>
        <w:spacing w:after="80"/>
      </w:pPr>
      <w:r>
        <w:t xml:space="preserve"/>
      </w:r>
    </w:p>
    <w:p>
      <w:pPr>
        <w:spacing w:after="140"/>
      </w:pPr>
      <w:r>
        <w:rPr>
          <w:rFonts w:ascii="Arial" w:cs="Arial" w:eastAsia="Arial" w:hAnsi="Arial"/>
          <w:color w:val="1A1A1A"/>
          <w:sz w:val="22"/>
          <w:szCs w:val="22"/>
        </w:rPr>
        <w:t xml:space="preserve">The script authenticates via </w:t>
      </w:r>
      <w:r>
        <w:rPr>
          <w:rFonts w:ascii="Arial" w:cs="Arial" w:eastAsia="Arial" w:hAnsi="Arial"/>
          <w:b/>
          <w:bCs/>
          <w:color w:val="1A1A1A"/>
          <w:sz w:val="22"/>
          <w:szCs w:val="22"/>
        </w:rPr>
        <w:t xml:space="preserve">web2py authentication</w:t>
      </w:r>
      <w:r>
        <w:rPr>
          <w:rFonts w:ascii="Arial" w:cs="Arial" w:eastAsia="Arial" w:hAnsi="Arial"/>
          <w:color w:val="1A1A1A"/>
          <w:sz w:val="22"/>
          <w:szCs w:val="22"/>
        </w:rPr>
        <w:t xml:space="preserve"> (including CSRF </w:t>
      </w:r>
      <w:r>
        <w:rPr>
          <w:rFonts w:ascii="Courier New" w:cs="Courier New" w:eastAsia="Courier New" w:hAnsi="Courier New"/>
          <w:color w:val="993C1D"/>
          <w:sz w:val="20"/>
          <w:szCs w:val="20"/>
        </w:rPr>
        <w:t xml:space="preserve">_formkey</w:t>
      </w:r>
      <w:r>
        <w:rPr>
          <w:rFonts w:ascii="Arial" w:cs="Arial" w:eastAsia="Arial" w:hAnsi="Arial"/>
          <w:color w:val="1A1A1A"/>
          <w:sz w:val="22"/>
          <w:szCs w:val="22"/>
        </w:rPr>
        <w:t xml:space="preserve"> token handling), then iterates over each day in the requested range. For each day, it scrapes the station data page for download links and retrieves files matching the specified Brewer IDs (</w:t>
      </w:r>
      <w:r>
        <w:rPr>
          <w:rFonts w:ascii="Courier New" w:cs="Courier New" w:eastAsia="Courier New" w:hAnsi="Courier New"/>
          <w:color w:val="993C1D"/>
          <w:sz w:val="20"/>
          <w:szCs w:val="20"/>
        </w:rPr>
        <w:t xml:space="preserve">.037</w:t>
      </w:r>
      <w:r>
        <w:rPr>
          <w:rFonts w:ascii="Arial" w:cs="Arial" w:eastAsia="Arial" w:hAnsi="Arial"/>
          <w:color w:val="1A1A1A"/>
          <w:sz w:val="22"/>
          <w:szCs w:val="22"/>
        </w:rPr>
        <w:t xml:space="preserve">, </w:t>
      </w:r>
      <w:r>
        <w:rPr>
          <w:rFonts w:ascii="Courier New" w:cs="Courier New" w:eastAsia="Courier New" w:hAnsi="Courier New"/>
          <w:color w:val="993C1D"/>
          <w:sz w:val="20"/>
          <w:szCs w:val="20"/>
        </w:rPr>
        <w:t xml:space="preserve">.214</w:t>
      </w:r>
      <w:r>
        <w:rPr>
          <w:rFonts w:ascii="Arial" w:cs="Arial" w:eastAsia="Arial" w:hAnsi="Arial"/>
          <w:color w:val="1A1A1A"/>
          <w:sz w:val="22"/>
          <w:szCs w:val="22"/>
        </w:rPr>
        <w:t xml:space="preserve">) or generic </w:t>
      </w:r>
      <w:r>
        <w:rPr>
          <w:rFonts w:ascii="Courier New" w:cs="Courier New" w:eastAsia="Courier New" w:hAnsi="Courier New"/>
          <w:color w:val="993C1D"/>
          <w:sz w:val="20"/>
          <w:szCs w:val="20"/>
        </w:rPr>
        <w:t xml:space="preserve">.txt</w:t>
      </w:r>
      <w:r>
        <w:rPr>
          <w:rFonts w:ascii="Arial" w:cs="Arial" w:eastAsia="Arial" w:hAnsi="Arial"/>
          <w:color w:val="1A1A1A"/>
          <w:sz w:val="22"/>
          <w:szCs w:val="22"/>
        </w:rPr>
        <w:t xml:space="preserve"> / </w:t>
      </w:r>
      <w:r>
        <w:rPr>
          <w:rFonts w:ascii="Courier New" w:cs="Courier New" w:eastAsia="Courier New" w:hAnsi="Courier New"/>
          <w:color w:val="993C1D"/>
          <w:sz w:val="20"/>
          <w:szCs w:val="20"/>
        </w:rPr>
        <w:t xml:space="preserve">.csv</w:t>
      </w:r>
      <w:r>
        <w:rPr>
          <w:rFonts w:ascii="Arial" w:cs="Arial" w:eastAsia="Arial" w:hAnsi="Arial"/>
          <w:color w:val="1A1A1A"/>
          <w:sz w:val="22"/>
          <w:szCs w:val="22"/>
        </w:rPr>
        <w:t xml:space="preserve"> files. Downloaded files are saved to:</w:t>
      </w:r>
    </w:p>
    <w:p>
      <w:pPr>
        <w:spacing w:after="120"/>
      </w:pPr>
      <w:r>
        <w:rPr>
          <w:rFonts w:ascii="Courier New" w:cs="Courier New" w:eastAsia="Courier New" w:hAnsi="Courier New"/>
          <w:color w:val="993C1D"/>
          <w:sz w:val="20"/>
          <w:szCs w:val="20"/>
        </w:rPr>
        <w:t xml:space="preserve">./brewer_data/{year}/</w:t>
      </w:r>
    </w:p>
    <w:p>
      <w:pPr>
        <w:spacing w:after="80"/>
      </w:pPr>
      <w:r>
        <w:t xml:space="preserve"/>
      </w:r>
    </w:p>
    <w:p>
      <w:pPr>
        <w:spacing w:after="140"/>
      </w:pPr>
      <w:r>
        <w:rPr>
          <w:rFonts w:ascii="Arial" w:cs="Arial" w:eastAsia="Arial" w:hAnsi="Arial"/>
          <w:color w:val="1A1A1A"/>
          <w:sz w:val="22"/>
          <w:szCs w:val="22"/>
        </w:rPr>
        <w:t xml:space="preserve">In the main comparison scripts, the downloaded B-files are parsed by scanning for the </w:t>
      </w:r>
      <w:r>
        <w:rPr>
          <w:rFonts w:ascii="Courier New" w:cs="Courier New" w:eastAsia="Courier New" w:hAnsi="Courier New"/>
          <w:color w:val="993C1D"/>
          <w:sz w:val="20"/>
          <w:szCs w:val="20"/>
        </w:rPr>
        <w:t xml:space="preserve">O3DS</w:t>
      </w:r>
      <w:r>
        <w:rPr>
          <w:rFonts w:ascii="Arial" w:cs="Arial" w:eastAsia="Arial" w:hAnsi="Arial"/>
          <w:color w:val="1A1A1A"/>
          <w:sz w:val="22"/>
          <w:szCs w:val="22"/>
        </w:rPr>
        <w:t xml:space="preserve"> column header and extracting the </w:t>
      </w:r>
      <w:r>
        <w:rPr>
          <w:rFonts w:ascii="Arial" w:cs="Arial" w:eastAsia="Arial" w:hAnsi="Arial"/>
          <w:b/>
          <w:bCs/>
          <w:color w:val="1A1A1A"/>
          <w:sz w:val="22"/>
          <w:szCs w:val="22"/>
        </w:rPr>
        <w:t xml:space="preserve">direct-sun ozone column</w:t>
      </w:r>
      <w:r>
        <w:rPr>
          <w:rFonts w:ascii="Arial" w:cs="Arial" w:eastAsia="Arial" w:hAnsi="Arial"/>
          <w:color w:val="1A1A1A"/>
          <w:sz w:val="22"/>
          <w:szCs w:val="22"/>
        </w:rPr>
        <w:t xml:space="preserve"> in Dobson Units. No unit conversion is required.</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FAEEDA" w:val="clear"/>
            <w:tcMar>
              <w:top w:type="dxa" w:w="120"/>
              <w:left w:type="dxa" w:w="180"/>
              <w:bottom w:type="dxa" w:w="120"/>
              <w:right w:type="dxa" w:w="180"/>
            </w:tcMar>
          </w:tcPr>
          <w:p>
            <w:pPr>
              <w:spacing w:after="80"/>
            </w:pPr>
            <w:r>
              <w:rPr>
                <w:rFonts w:ascii="Arial" w:cs="Arial" w:eastAsia="Arial" w:hAnsi="Arial"/>
                <w:b/>
                <w:bCs/>
                <w:color w:val="854F0B"/>
                <w:sz w:val="22"/>
                <w:szCs w:val="22"/>
              </w:rPr>
              <w:t xml:space="preserve">Dependencies</w:t>
            </w:r>
          </w:p>
          <w:p>
            <w:pPr>
              <w:spacing w:after="60"/>
            </w:pPr>
            <w:r>
              <w:rPr>
                <w:rFonts w:ascii="Arial" w:cs="Arial" w:eastAsia="Arial" w:hAnsi="Arial"/>
                <w:b/>
                <w:bCs/>
                <w:color w:val="854F0B"/>
                <w:sz w:val="20"/>
                <w:szCs w:val="20"/>
              </w:rPr>
              <w:t xml:space="preserve">requests: </w:t>
            </w:r>
            <w:r>
              <w:rPr>
                <w:rFonts w:ascii="Arial" w:cs="Arial" w:eastAsia="Arial" w:hAnsi="Arial"/>
                <w:color w:val="1A1A1A"/>
                <w:sz w:val="20"/>
                <w:szCs w:val="20"/>
              </w:rPr>
              <w:t xml:space="preserve">HTTP client for authentication and file download</w:t>
            </w:r>
          </w:p>
          <w:p>
            <w:pPr>
              <w:spacing w:after="60"/>
            </w:pPr>
            <w:r>
              <w:rPr>
                <w:rFonts w:ascii="Arial" w:cs="Arial" w:eastAsia="Arial" w:hAnsi="Arial"/>
                <w:b/>
                <w:bCs/>
                <w:color w:val="854F0B"/>
                <w:sz w:val="20"/>
                <w:szCs w:val="20"/>
              </w:rPr>
              <w:t xml:space="preserve">beautifulsoup4: </w:t>
            </w:r>
            <w:r>
              <w:rPr>
                <w:rFonts w:ascii="Arial" w:cs="Arial" w:eastAsia="Arial" w:hAnsi="Arial"/>
                <w:color w:val="1A1A1A"/>
                <w:sz w:val="20"/>
                <w:szCs w:val="20"/>
              </w:rPr>
              <w:t xml:space="preserve">HTML scraping of the EUBREWNET station data page</w:t>
            </w:r>
          </w:p>
          <w:p>
            <w:pPr>
              <w:spacing w:after="60"/>
            </w:pPr>
            <w:r>
              <w:rPr>
                <w:rFonts w:ascii="Arial" w:cs="Arial" w:eastAsia="Arial" w:hAnsi="Arial"/>
                <w:b/>
                <w:bCs/>
                <w:color w:val="854F0B"/>
                <w:sz w:val="20"/>
                <w:szCs w:val="20"/>
              </w:rPr>
              <w:t xml:space="preserve">lxml: </w:t>
            </w:r>
            <w:r>
              <w:rPr>
                <w:rFonts w:ascii="Arial" w:cs="Arial" w:eastAsia="Arial" w:hAnsi="Arial"/>
                <w:color w:val="1A1A1A"/>
                <w:sz w:val="20"/>
                <w:szCs w:val="20"/>
              </w:rPr>
              <w:t xml:space="preserve">HTML parser backend for BeautifulSoup</w:t>
            </w:r>
          </w:p>
        </w:tc>
      </w:tr>
    </w:tbl>
    <w:p>
      <w:pPr>
        <w:spacing w:after="160"/>
      </w:pPr>
      <w:r>
        <w:t xml:space="preserve"/>
      </w:r>
    </w:p>
    <w:p>
      <w:pPr>
        <w:pStyle w:val="Heading1"/>
        <w:pBdr>
          <w:bottom w:val="single" w:color="854F0B" w:sz="8" w:space="4"/>
        </w:pBdr>
        <w:spacing w:after="160" w:before="400"/>
      </w:pPr>
      <w:r>
        <w:rPr>
          <w:rFonts w:ascii="Arial" w:cs="Arial" w:eastAsia="Arial" w:hAnsi="Arial"/>
          <w:b/>
          <w:bCs/>
          <w:color w:val="854F0B"/>
          <w:sz w:val="32"/>
          <w:szCs w:val="32"/>
        </w:rPr>
        <w:t xml:space="preserve">4. Scientific Context &amp; Limitations</w:t>
      </w:r>
    </w:p>
    <w:p>
      <w:pPr>
        <w:pStyle w:val="Heading2"/>
        <w:spacing w:after="120" w:before="300"/>
      </w:pPr>
      <w:r>
        <w:rPr>
          <w:rFonts w:ascii="Arial" w:cs="Arial" w:eastAsia="Arial" w:hAnsi="Arial"/>
          <w:b/>
          <w:bCs/>
          <w:color w:val="0F6E56"/>
          <w:sz w:val="26"/>
          <w:szCs w:val="26"/>
        </w:rPr>
        <w:t xml:space="preserve">4.1  Strengths</w:t>
      </w:r>
    </w:p>
    <w:p>
      <w:pPr>
        <w:pStyle w:val="ListParagraph"/>
        <w:numPr>
          <w:ilvl w:val="0"/>
          <w:numId w:val="2"/>
        </w:numPr>
        <w:spacing w:after="80"/>
      </w:pPr>
      <w:r>
        <w:rPr>
          <w:rFonts w:ascii="Arial" w:cs="Arial" w:eastAsia="Arial" w:hAnsi="Arial"/>
          <w:b/>
          <w:bCs/>
          <w:color w:val="185FA5"/>
          <w:sz w:val="22"/>
          <w:szCs w:val="22"/>
        </w:rPr>
        <w:t xml:space="preserve">WMO reference standard: </w:t>
      </w:r>
      <w:r>
        <w:rPr>
          <w:rFonts w:ascii="Arial" w:cs="Arial" w:eastAsia="Arial" w:hAnsi="Arial"/>
          <w:color w:val="1A1A1A"/>
          <w:sz w:val="22"/>
          <w:szCs w:val="22"/>
        </w:rPr>
        <w:t xml:space="preserve">The Brewer is the global reference for TOC; it underpins the Dobson network calibration chain and provides absolute traceability.</w:t>
      </w:r>
    </w:p>
    <w:p>
      <w:pPr>
        <w:pStyle w:val="ListParagraph"/>
        <w:numPr>
          <w:ilvl w:val="0"/>
          <w:numId w:val="2"/>
        </w:numPr>
        <w:spacing w:after="80"/>
      </w:pPr>
      <w:r>
        <w:rPr>
          <w:rFonts w:ascii="Arial" w:cs="Arial" w:eastAsia="Arial" w:hAnsi="Arial"/>
          <w:b/>
          <w:bCs/>
          <w:color w:val="185FA5"/>
          <w:sz w:val="22"/>
          <w:szCs w:val="22"/>
        </w:rPr>
        <w:t xml:space="preserve">High temporal resolution: </w:t>
      </w:r>
      <w:r>
        <w:rPr>
          <w:rFonts w:ascii="Arial" w:cs="Arial" w:eastAsia="Arial" w:hAnsi="Arial"/>
          <w:color w:val="1A1A1A"/>
          <w:sz w:val="22"/>
          <w:szCs w:val="22"/>
        </w:rPr>
        <w:t xml:space="preserve">Measurements every 2–5 minutes during daylight, enabling study of intra-day ozone variability — unmatched by SAOZ or ozonesondes.</w:t>
      </w:r>
    </w:p>
    <w:p>
      <w:pPr>
        <w:pStyle w:val="ListParagraph"/>
        <w:numPr>
          <w:ilvl w:val="0"/>
          <w:numId w:val="2"/>
        </w:numPr>
        <w:spacing w:after="80"/>
      </w:pPr>
      <w:r>
        <w:rPr>
          <w:rFonts w:ascii="Arial" w:cs="Arial" w:eastAsia="Arial" w:hAnsi="Arial"/>
          <w:b/>
          <w:bCs/>
          <w:color w:val="185FA5"/>
          <w:sz w:val="22"/>
          <w:szCs w:val="22"/>
        </w:rPr>
        <w:t xml:space="preserve">Year-round at Sodankylä: </w:t>
      </w:r>
      <w:r>
        <w:rPr>
          <w:rFonts w:ascii="Arial" w:cs="Arial" w:eastAsia="Arial" w:hAnsi="Arial"/>
          <w:color w:val="1A1A1A"/>
          <w:sz w:val="22"/>
          <w:szCs w:val="22"/>
        </w:rPr>
        <w:t xml:space="preserve">Can measure as long as the sun is above the horizon, including in the polar day. Zenith-sky mode extends coverage to low-sun conditions.</w:t>
      </w:r>
    </w:p>
    <w:p>
      <w:pPr>
        <w:pStyle w:val="ListParagraph"/>
        <w:numPr>
          <w:ilvl w:val="0"/>
          <w:numId w:val="2"/>
        </w:numPr>
        <w:spacing w:after="80"/>
      </w:pPr>
      <w:r>
        <w:rPr>
          <w:rFonts w:ascii="Arial" w:cs="Arial" w:eastAsia="Arial" w:hAnsi="Arial"/>
          <w:b/>
          <w:bCs/>
          <w:color w:val="185FA5"/>
          <w:sz w:val="22"/>
          <w:szCs w:val="22"/>
        </w:rPr>
        <w:t xml:space="preserve">Multi-product: </w:t>
      </w:r>
      <w:r>
        <w:rPr>
          <w:rFonts w:ascii="Arial" w:cs="Arial" w:eastAsia="Arial" w:hAnsi="Arial"/>
          <w:color w:val="1A1A1A"/>
          <w:sz w:val="22"/>
          <w:szCs w:val="22"/>
        </w:rPr>
        <w:t xml:space="preserve">Simultaneous retrieval of O₃, SO₂, UV index, and UV-B irradiance from a single scan.</w:t>
      </w:r>
    </w:p>
    <w:p>
      <w:pPr>
        <w:spacing w:after="80"/>
      </w:pPr>
      <w:r>
        <w:t xml:space="preserve"/>
      </w:r>
    </w:p>
    <w:p>
      <w:pPr>
        <w:pStyle w:val="Heading2"/>
        <w:spacing w:after="120" w:before="300"/>
      </w:pPr>
      <w:r>
        <w:rPr>
          <w:rFonts w:ascii="Arial" w:cs="Arial" w:eastAsia="Arial" w:hAnsi="Arial"/>
          <w:b/>
          <w:bCs/>
          <w:color w:val="0F6E56"/>
          <w:sz w:val="26"/>
          <w:szCs w:val="26"/>
        </w:rPr>
        <w:t xml:space="preserve">4.2  Limitations</w:t>
      </w:r>
    </w:p>
    <w:p>
      <w:pPr>
        <w:pStyle w:val="ListParagraph"/>
        <w:numPr>
          <w:ilvl w:val="0"/>
          <w:numId w:val="2"/>
        </w:numPr>
        <w:spacing w:after="80"/>
      </w:pPr>
      <w:r>
        <w:rPr>
          <w:rFonts w:ascii="Arial" w:cs="Arial" w:eastAsia="Arial" w:hAnsi="Arial"/>
          <w:b/>
          <w:bCs/>
          <w:color w:val="185FA5"/>
          <w:sz w:val="22"/>
          <w:szCs w:val="22"/>
        </w:rPr>
        <w:t xml:space="preserve">Direct-sun only (main mode): </w:t>
      </w:r>
      <w:r>
        <w:rPr>
          <w:rFonts w:ascii="Arial" w:cs="Arial" w:eastAsia="Arial" w:hAnsi="Arial"/>
          <w:color w:val="1A1A1A"/>
          <w:sz w:val="22"/>
          <w:szCs w:val="22"/>
        </w:rPr>
        <w:t xml:space="preserve">Requires a clear sky view of the solar disk. Clouds or heavy aerosol loading (smoke, volcanic ash) interrupt measurements.</w:t>
      </w:r>
    </w:p>
    <w:p>
      <w:pPr>
        <w:pStyle w:val="ListParagraph"/>
        <w:numPr>
          <w:ilvl w:val="0"/>
          <w:numId w:val="2"/>
        </w:numPr>
        <w:spacing w:after="80"/>
      </w:pPr>
      <w:r>
        <w:rPr>
          <w:rFonts w:ascii="Arial" w:cs="Arial" w:eastAsia="Arial" w:hAnsi="Arial"/>
          <w:b/>
          <w:bCs/>
          <w:color w:val="185FA5"/>
          <w:sz w:val="22"/>
          <w:szCs w:val="22"/>
        </w:rPr>
        <w:t xml:space="preserve">No vertical profile: </w:t>
      </w:r>
      <w:r>
        <w:rPr>
          <w:rFonts w:ascii="Arial" w:cs="Arial" w:eastAsia="Arial" w:hAnsi="Arial"/>
          <w:color w:val="1A1A1A"/>
          <w:sz w:val="22"/>
          <w:szCs w:val="22"/>
        </w:rPr>
        <w:t xml:space="preserve">Only total column. BTS DIAL lidar or ECC ozonesondes needed for altitude information.</w:t>
      </w:r>
    </w:p>
    <w:p>
      <w:pPr>
        <w:pStyle w:val="ListParagraph"/>
        <w:numPr>
          <w:ilvl w:val="0"/>
          <w:numId w:val="2"/>
        </w:numPr>
        <w:spacing w:after="80"/>
      </w:pPr>
      <w:r>
        <w:rPr>
          <w:rFonts w:ascii="Arial" w:cs="Arial" w:eastAsia="Arial" w:hAnsi="Arial"/>
          <w:b/>
          <w:bCs/>
          <w:color w:val="185FA5"/>
          <w:sz w:val="22"/>
          <w:szCs w:val="22"/>
        </w:rPr>
        <w:t xml:space="preserve">Polar night gap: </w:t>
      </w:r>
      <w:r>
        <w:rPr>
          <w:rFonts w:ascii="Arial" w:cs="Arial" w:eastAsia="Arial" w:hAnsi="Arial"/>
          <w:color w:val="1A1A1A"/>
          <w:sz w:val="22"/>
          <w:szCs w:val="22"/>
        </w:rPr>
        <w:t xml:space="preserve">No measurements when the sun is below the horizon (Sodankylä: approx. Dec–Jan).</w:t>
      </w:r>
    </w:p>
    <w:p>
      <w:pPr>
        <w:pStyle w:val="ListParagraph"/>
        <w:numPr>
          <w:ilvl w:val="0"/>
          <w:numId w:val="2"/>
        </w:numPr>
        <w:spacing w:after="80"/>
      </w:pPr>
      <w:r>
        <w:rPr>
          <w:rFonts w:ascii="Arial" w:cs="Arial" w:eastAsia="Arial" w:hAnsi="Arial"/>
          <w:b/>
          <w:bCs/>
          <w:color w:val="185FA5"/>
          <w:sz w:val="22"/>
          <w:szCs w:val="22"/>
        </w:rPr>
        <w:t xml:space="preserve">Calibration maintenance: </w:t>
      </w:r>
      <w:r>
        <w:rPr>
          <w:rFonts w:ascii="Arial" w:cs="Arial" w:eastAsia="Arial" w:hAnsi="Arial"/>
          <w:color w:val="1A1A1A"/>
          <w:sz w:val="22"/>
          <w:szCs w:val="22"/>
        </w:rPr>
        <w:t xml:space="preserve">Requires regular lamp calibrations, grating cleaning, and comparison with reference instruments. Ageing of the detector affects UV sensitivity.</w:t>
      </w:r>
    </w:p>
    <w:p>
      <w:pPr>
        <w:spacing w:after="160"/>
      </w:pPr>
      <w:r>
        <w:t xml:space="preserve"/>
      </w:r>
    </w:p>
    <w:p>
      <w:pPr>
        <w:pBdr>
          <w:top w:val="single" w:color="185FA5" w:sz="4" w:space="4"/>
        </w:pBdr>
        <w:spacing w:after="60" w:before="400"/>
      </w:pPr>
      <w:r>
        <w:rPr>
          <w:rFonts w:ascii="Arial" w:cs="Arial" w:eastAsia="Arial" w:hAnsi="Arial"/>
          <w:color w:val="5F5E5A"/>
          <w:sz w:val="18"/>
          <w:szCs w:val="18"/>
        </w:rPr>
        <w:t xml:space="preserve">FMI Sodankylä Arctic Research Station  ·  Brewer Spectrophotometer — Technical Documentation  ·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2026-06-23T07:31:43.905Z</dcterms:created>
  <dcterms:modified xsi:type="dcterms:W3CDTF">2026-06-23T07:31:43.906Z</dcterms:modified>
</cp:coreProperties>
</file>

<file path=docProps/custom.xml><?xml version="1.0" encoding="utf-8"?>
<Properties xmlns="http://schemas.openxmlformats.org/officeDocument/2006/custom-properties" xmlns:vt="http://schemas.openxmlformats.org/officeDocument/2006/docPropsVTypes"/>
</file>