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#1: Using Cancer Re-Occurrence File, create and submit your own dot plot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(ggformula)</w:t>
              <w:br w:type="textWrapping"/>
              <w:t xml:space="preserve">cancer_recurance_url &lt;-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'https://raw.githubusercontent.com/kathrynKozak/MAT160/master/docs/cancer_recurance.csv'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cancer_recurance &lt;- read.csv(cancer_recurance_url)</w:t>
              <w:br w:type="textWrapping"/>
              <w:t xml:space="preserve">gf_dotplot(~ tummor, data = cancer_recurance, title=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'Tumor Recurrence After Chemotherapy'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 +</w:t>
              <w:br w:type="textWrapping"/>
              <w:t xml:space="preserve">  theme_minimal()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color w:val="88888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88888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color w:val="888888"/>
          <w:shd w:fill="f0f0f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#2: Using the cancer file, give the mean, standard deviation, variance, and five-number summary. 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cancer_url &lt;-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'https://raw.githubusercontent.com/kathrynKozak/MAT160/master/docs/cancer.csv'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cancer &lt;- read.csv(cancer_url)</w:t>
              <w:br w:type="textWrapping"/>
              <w:br w:type="textWrapping"/>
              <w:t xml:space="preserve">mean_survival &lt;- df_stats(~survival, data=cancer, mean)</w:t>
              <w:br w:type="textWrapping"/>
              <w:t xml:space="preserve">median_survival &lt;- df_stats(~survival, data=cancer, median)</w:t>
              <w:br w:type="textWrapping"/>
              <w:t xml:space="preserve">sd_survival &lt;- df_stats(~survival, data=cancer, sd)</w:t>
              <w:br w:type="textWrapping"/>
              <w:t xml:space="preserve">summary_survival &lt;- df_stats(~survival, data=cancer, summary)</w:t>
              <w:br w:type="textWrapping"/>
              <w:br w:type="textWrapping"/>
              <w:t xml:space="preserve">gf_boxplot(~survival, data=cancer, title=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"Cancer Survival Boxplot"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outlier.color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 +</w:t>
              <w:br w:type="textWrapping"/>
              <w:t xml:space="preserve">  gf_refine(coord_flip())+</w:t>
              <w:br w:type="textWrapping"/>
              <w:t xml:space="preserve">  gf_theme(theme_minimal())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543425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#3: Using the Cancer Re-Occurrence File, do a histogram chart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gf_histogram(~tummor, data=cancer_recurance, title=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'Cancer Re-Occurence Histogram'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  <w:br w:type="textWrapping"/>
              <w:t xml:space="preserve">             color=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'lightblue'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,fill=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'lightblue'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alpha=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)+</w:t>
              <w:br w:type="textWrapping"/>
              <w:t xml:space="preserve">  gf_theme(theme_minimal())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nsolas" w:cs="Consolas" w:eastAsia="Consolas" w:hAnsi="Consolas"/>
          <w:color w:val="444444"/>
          <w:shd w:fill="f0f0f0" w:val="clear"/>
        </w:rPr>
      </w:pPr>
      <w:r w:rsidDel="00000000" w:rsidR="00000000" w:rsidRPr="00000000">
        <w:rPr/>
        <w:drawing>
          <wp:inline distB="114300" distT="114300" distL="114300" distR="114300">
            <wp:extent cx="4543425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