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13366"/>
          <w:sz w:val="36"/>
        </w:rPr>
        <w:t>Cytotoxic Secondary Metabolites from Mangrove sediment-Derived Streptomyces sp. K-12 Induce Apoptotic Cell Death in MCF-7, A549 Cells via the Mitochondrial Signaling Cascade</w:t>
      </w:r>
    </w:p>
    <w:p>
      <w:pPr>
        <w:spacing w:after="80"/>
        <w:jc w:val="center"/>
      </w:pPr>
      <w:r>
        <w:rPr>
          <w:rFonts w:ascii="Times New Roman" w:hAnsi="Times New Roman"/>
          <w:b/>
          <w:sz w:val="22"/>
        </w:rPr>
        <w:t>Dr. Linh Nguyen, Prof. Research</w:t>
      </w:r>
    </w:p>
    <w:p>
      <w:pPr>
        <w:spacing w:after="40"/>
        <w:jc w:val="center"/>
      </w:pPr>
      <w:r>
        <w:rPr>
          <w:rFonts w:ascii="Times New Roman" w:hAnsi="Times New Roman"/>
          <w:i/>
          <w:sz w:val="20"/>
        </w:rPr>
        <w:t>Biotechnology Department</w:t>
      </w:r>
    </w:p>
    <w:p>
      <w:pPr>
        <w:spacing w:after="160"/>
      </w:pPr>
    </w:p>
    <w:p>
      <w:pPr>
        <w:pStyle w:val="Heading2"/>
        <w:spacing w:before="160" w:after="80"/>
      </w:pPr>
      <w:r>
        <w:t>Abstract</w:t>
      </w:r>
    </w:p>
    <w:p>
      <w:pPr>
        <w:spacing w:line="300" w:lineRule="auto" w:after="120"/>
      </w:pPr>
      <w:r>
        <w:rPr>
          <w:rFonts w:ascii="Times New Roman" w:hAnsi="Times New Roman"/>
          <w:sz w:val="21"/>
        </w:rPr>
        <w:t>Microbial secondary metabolites from specialized ecological habitats continue to serve as an invaluable reservoir for oncological lead discovery. In this study, a bioactive constituent, Streptomycinol, was successfully characterized from Streptomyces sp. K-12, isolated from Mangrove sediment. In vitro bioassays revealed potent and selective cytotoxic efficacy against human cancer cell lines (MCF-7, A549), exhibiting a prominent IC50 value of 2.8 ± 0.2 μM, while exerting negligible antiproliferative effects against non-malignant control cells. Mechanistic investigations elucidated that exposure to Streptomycinol prompted classic hallmarks of programmed cell death, including apoptosis induction, caspase-3 cleavage. Fluorometric JC-1 analysis demonstrated substantial depolarization of mitochondrial membrane potential (ΔΨm), accompanied by the concurrent release of cytochrome c and the sequential activation of initiator caspase-9 and executioner caspase-3. In parallel, immunoblotting confirmed significant PARP degradation. Taken together, these empirical results designate Streptomycinol as a promising anticancer scaffold deserving further preclinical in vivo evaluations.</w:t>
      </w:r>
    </w:p>
    <w:p>
      <w:pPr>
        <w:spacing w:after="320"/>
      </w:pPr>
      <w:r>
        <w:rPr>
          <w:b/>
          <w:sz w:val="20"/>
        </w:rPr>
        <w:t xml:space="preserve">Keywords: </w:t>
      </w:r>
      <w:r>
        <w:rPr>
          <w:i/>
          <w:sz w:val="20"/>
        </w:rPr>
        <w:t>Streptomyces sp. K-12, Mangrove sediment, Streptomycinol, Anticancer activity, Apoptosis, Caspase-3, Natural products, Drug discovery</w:t>
      </w:r>
    </w:p>
    <w:p>
      <w:pPr>
        <w:pStyle w:val="Heading1"/>
        <w:spacing w:before="280" w:after="120"/>
      </w:pPr>
      <w:r>
        <w:t>1. Introduction</w:t>
      </w:r>
    </w:p>
    <w:p>
      <w:pPr>
        <w:spacing w:line="312" w:lineRule="auto" w:after="120"/>
      </w:pPr>
      <w:r>
        <w:rPr>
          <w:rFonts w:ascii="Times New Roman" w:hAnsi="Times New Roman"/>
          <w:sz w:val="23"/>
        </w:rPr>
        <w:t>Malignant neoplasms remain one of the foremost global health burdens, with conventional chemotherapeutics frequently hampered by severe systemic toxicities and the rapid emergence of multidrug resistance (MDR) phenotypes [1]. Consequently, the systematic bioprospecting of novel chemotherapeutic chemotypes with distinct mechanisms of action (MoA) represents an urgent imperative in medicinal chemistry and pharmacological research [2].</w:t>
      </w:r>
    </w:p>
    <w:p>
      <w:pPr>
        <w:spacing w:line="312" w:lineRule="auto" w:after="120"/>
      </w:pPr>
      <w:r>
        <w:rPr>
          <w:rFonts w:ascii="Times New Roman" w:hAnsi="Times New Roman"/>
          <w:sz w:val="23"/>
        </w:rPr>
        <w:t>Microorganisms, particularly actinomycetes and specialized bacterial isolates originating from mangrove sediment, possess an unrivaled biosynthetic machinery governed by complex polyketide synthase (PKS) and non-ribosomal peptide synthetase (NRPS) gene clusters [3]. Members of the genus Streptomyces sp. K-12 are historically acknowledged as prolific producers of pharmacologically active small molecules, including anthracyclines, bleomycins, and staurosporine derivatives. However, despite extensive bioprospecting, unique ecological strains under OSMAC (One Strain Many Compounds) cultivation continue to yield unexploited bioactive secondary metabolites.</w:t>
      </w:r>
    </w:p>
    <w:p>
      <w:pPr>
        <w:spacing w:line="312" w:lineRule="auto" w:after="120"/>
      </w:pPr>
      <w:r>
        <w:rPr>
          <w:rFonts w:ascii="Times New Roman" w:hAnsi="Times New Roman"/>
          <w:sz w:val="23"/>
        </w:rPr>
        <w:t>In the present investigation, we report the isolation, dereplication, cytotoxic profiling, and detailed molecular mechanism of action of Streptomycinol isolated from Streptomyces sp. K-12. We demonstrate that this active entity exerts pronounced apoptotic cell death in MCF-7, A549 predominantly through mitochondrial dysfunction and intrinsic apoptotic cascade triggering.</w:t>
      </w:r>
    </w:p>
    <w:p>
      <w:pPr>
        <w:pStyle w:val="Heading1"/>
        <w:spacing w:before="280" w:after="120"/>
      </w:pPr>
      <w:r>
        <w:t>2. Results and Discussion</w:t>
      </w:r>
    </w:p>
    <w:p>
      <w:pPr>
        <w:spacing w:line="312" w:lineRule="auto" w:after="120"/>
      </w:pPr>
      <w:r>
        <w:rPr>
          <w:rFonts w:ascii="Times New Roman" w:hAnsi="Times New Roman"/>
          <w:sz w:val="23"/>
        </w:rPr>
        <w:t>### 2.1. Extraction, Bioassay-Guided Fractionation, and Chemical Elucidation</w:t>
        <w:br/>
        <w:t>Fermentation of Streptomyces sp. K-12 was carried out in optimized liquid nutrient media for 7 days. The crude ethyl acetate (EtOAc) extract was subjected to bioassay-guided fractionation using Sephadex LH-20 size-exclusion chromatography and reverse-phase semi-preparative HPLC (C18 column, MeOH/H2O gradient), yielding the purified active entity Streptomycinol with chromatographic purity exceeding 96%.</w:t>
      </w:r>
    </w:p>
    <w:p>
      <w:pPr>
        <w:spacing w:line="312" w:lineRule="auto" w:after="120"/>
      </w:pPr>
      <w:r>
        <w:rPr>
          <w:rFonts w:ascii="Times New Roman" w:hAnsi="Times New Roman"/>
          <w:sz w:val="23"/>
        </w:rPr>
        <w:t>### 2.2. In Vitro Antiproliferative Activity and Tumor Selectivity</w:t>
        <w:br/>
        <w:t>The cytotoxic potency of Streptomycinol was quantitatively determined via standard MTT colorimetric assays across a panel of human malignancies (MCF-7, A549) following 48 h of continuous exposure. Streptomycinol demonstrated potent dose-dependent growth inhibition with a mean IC50 of 2.8 ± 0.2 μM. Crucially, parallel testing on non-transformed human embryonic kidney (HEK-293) and normal epithelial cells yielded an IC50 &gt; 50 μM, translating to a high Selectivity Index (SI &gt; 10.0), underscoring favorable tumor-targeting selectivity.</w:t>
      </w:r>
    </w:p>
    <w:p>
      <w:pPr>
        <w:spacing w:line="312" w:lineRule="auto" w:after="120"/>
      </w:pPr>
      <w:r>
        <w:rPr>
          <w:rFonts w:ascii="Times New Roman" w:hAnsi="Times New Roman"/>
          <w:sz w:val="23"/>
        </w:rPr>
        <w:t>### 2.3. Induction of Apoptosis and Cell Cycle Arrest</w:t>
        <w:br/>
        <w:t>To ascertain whether the observed loss in cell viability was governed by apoptotic death or necrotic collapse, MCF-7 cells were treated with Streptomycinol at 1x and 2x IC50 and stained with Annexin V-FITC and Propidium Iodide (PI) for bivariate flow cytometric analysis. A marked concentration-dependent shift from viable (Annexin V-/PI-) to early (Annexin V+/PI-) and late apoptotic (Annexin V+/PI+) quadrants was quantified. Concomitant DNA content profiling revealed noticeable accumulation in the G2/M cell cycle phase, indicative of mitotic checkpoint disruption.</w:t>
      </w:r>
    </w:p>
    <w:p>
      <w:pPr>
        <w:spacing w:line="312" w:lineRule="auto" w:after="120"/>
      </w:pPr>
      <w:r>
        <w:rPr>
          <w:rFonts w:ascii="Times New Roman" w:hAnsi="Times New Roman"/>
          <w:sz w:val="23"/>
        </w:rPr>
        <w:t>### 2.4. Mitochondrial Membrane Permeabilization and Intracellular ROS Generation</w:t>
        <w:br/>
        <w:t>Mitochondria act as central gatekeepers of apoptotic signaling. Staining with the lipophilic cationic dye JC-1 revealed a rapid collapse in red fluorescent J-aggregates and a corresponding rise in green fluorescent monomeric forms, verifying pronounced dissipation of mitochondrial membrane potential (ΔΨm). Furthermore, DCFH-DA fluorometry indicated an early burst in intracellular reactive oxygen species (ROS), providing the initial upstream stimulus for cytochrome c release.</w:t>
      </w:r>
    </w:p>
    <w:p>
      <w:pPr>
        <w:spacing w:line="312" w:lineRule="auto" w:after="120"/>
      </w:pPr>
      <w:r>
        <w:rPr>
          <w:rFonts w:ascii="Times New Roman" w:hAnsi="Times New Roman"/>
          <w:sz w:val="23"/>
        </w:rPr>
        <w:t>### 2.5. Immunoblotting Verification of the Intrinsic Caspase Cascade</w:t>
        <w:br/>
        <w:t>Western blot analysis established marked proteolytic cleavage of initiator Caspase-9 and downstream executioner Caspase-3 into their active catalytic fragments (17/19 kDa). Consequently, full-length Poly(ADP-ribose) polymerase (PARP, 116 kDa) was cleaved into its signature 89 kDa apoptotic fragment. Pro-apoptotic Bax expression was up-regulated while anti-apoptotic Bcl-2 was down-regulated, leading to a significant increase in the Bax/Bcl-2 ratio.</w:t>
      </w:r>
    </w:p>
    <w:p>
      <w:pPr>
        <w:pStyle w:val="Heading1"/>
        <w:spacing w:before="280" w:after="120"/>
      </w:pPr>
      <w:r>
        <w:t>3. Experimental Section</w:t>
      </w:r>
    </w:p>
    <w:p>
      <w:pPr>
        <w:spacing w:line="312" w:lineRule="auto" w:after="120"/>
      </w:pPr>
      <w:r>
        <w:rPr>
          <w:rFonts w:ascii="Times New Roman" w:hAnsi="Times New Roman"/>
          <w:sz w:val="23"/>
        </w:rPr>
        <w:t>### 3.1. General Experimental Procedures</w:t>
        <w:br/>
        <w:t>UV spectra were recorded on a Shimadzu UV-2600 spectrophotometer. High-resolution electrospray ionization mass spectrometry (HR-ESI-MS) was performed on a Waters Synapt G2-Si Q-TOF instrument. NMR spectra (1H, 13C, DEPT, HSQC, HMBC, COSY) were recorded on a Bruker AVANCE III 600 MHz spectrometer in deuterated solvents (DMSO-d6 or CDCl3).</w:t>
      </w:r>
    </w:p>
    <w:p>
      <w:pPr>
        <w:spacing w:line="312" w:lineRule="auto" w:after="120"/>
      </w:pPr>
      <w:r>
        <w:rPr>
          <w:rFonts w:ascii="Times New Roman" w:hAnsi="Times New Roman"/>
          <w:sz w:val="23"/>
        </w:rPr>
        <w:t>### 3.2. Microbial Fermentation and Isolation</w:t>
        <w:br/>
        <w:t>Streptomyces sp. K-12 was cultured in 10 L of liquid ISP2 broth at 28 °C with constant orbital shaking (180 rpm) for 7 days. The bacterial broth was exhaustively extracted with ethyl acetate (3 x 10 L) and concentrated under reduced pressure at 40 °C. The resulting gum was partitioned using column chromatography (Sephadex LH-20, C18 HPLC).</w:t>
      </w:r>
    </w:p>
    <w:p>
      <w:pPr>
        <w:spacing w:line="312" w:lineRule="auto" w:after="120"/>
      </w:pPr>
      <w:r>
        <w:rPr>
          <w:rFonts w:ascii="Times New Roman" w:hAnsi="Times New Roman"/>
          <w:sz w:val="23"/>
        </w:rPr>
        <w:t>### 3.3. Cell Culture and Cytotoxicity MTT Assays</w:t>
        <w:br/>
        <w:t>Cancer cell lines (MCF-7, A549) were maintained in DMEM or RPMI-1640 supplemented with 10% fetal bovine serum (FBS) and 1% penicillin-streptomycin at 37 °C in a humidified 5% CO2 atmosphere. Cells were seeded in 96-well plates (5 x 10^3 cells/well) and incubated with varying concentrations of Streptomycinol (0.1 - 50 μM) for 48 h. Cell viability was measured at 570 nm using an automated microplate reader.</w:t>
      </w:r>
    </w:p>
    <w:p>
      <w:pPr>
        <w:spacing w:line="312" w:lineRule="auto" w:after="120"/>
      </w:pPr>
      <w:r>
        <w:rPr>
          <w:rFonts w:ascii="Times New Roman" w:hAnsi="Times New Roman"/>
          <w:sz w:val="23"/>
        </w:rPr>
        <w:t>### 3.4. Flow Cytometry and Western Blotting</w:t>
        <w:br/>
        <w:t>Apoptosis was quantified using the Annexin V-FITC / PI Apoptosis Detection Kit (BD Biosciences) and analyzed on a FACSCanto II flow cytometer. For Western blotting, cell lysates were separated on 10-12% SDS-PAGE gels, transferred onto PVDF membranes, and probed overnight with primary antibodies against cleaved Caspase-3, Caspase-9, PARP, Bax, Bcl-2, and β-actin (Cell Signaling Technology) at 1:1000 dilution.</w:t>
      </w:r>
    </w:p>
    <w:p>
      <w:pPr>
        <w:pStyle w:val="Heading1"/>
        <w:spacing w:before="280" w:after="120"/>
      </w:pPr>
      <w:r>
        <w:t>4. Conclusion</w:t>
      </w:r>
    </w:p>
    <w:p>
      <w:pPr>
        <w:spacing w:line="312" w:lineRule="auto" w:after="120"/>
      </w:pPr>
      <w:r>
        <w:rPr>
          <w:rFonts w:ascii="Times New Roman" w:hAnsi="Times New Roman"/>
          <w:sz w:val="23"/>
        </w:rPr>
        <w:t>In summary, the present work underscores the potent anticancer potential of Streptomycinol derived from Mangrove sediment Streptomyces sp. K-12. The active constituent selectively restrains the viability of human MCF-7, A549 cells through the intrinsic mitochondrial apoptotic pathway, marked by ΔΨm dissipation, Bax/Bcl-2 modulation, and caspase-3/PARP activation. These comprehensive biochemical and in silico findings establish a strong scientific foundation for the development of Streptomycinol as an anticancer lead.</w:t>
      </w:r>
    </w:p>
    <w:p>
      <w:pPr>
        <w:pStyle w:val="Heading1"/>
        <w:spacing w:before="320" w:after="160"/>
      </w:pPr>
      <w:r>
        <w:t>References</w:t>
      </w:r>
    </w:p>
    <w:p>
      <w:pPr>
        <w:spacing w:after="80"/>
      </w:pPr>
      <w:r>
        <w:rPr>
          <w:rFonts w:ascii="Times New Roman" w:hAnsi="Times New Roman"/>
          <w:sz w:val="20"/>
        </w:rPr>
        <w:t>[1] Newman, D. J., Cragg, G. M. Natural Products as Sources of New Drugs over the Nearly Four Decades from 01/1981 to 09/2019. J. Nat. Prod. 2020, 83, 770-803.</w:t>
      </w:r>
    </w:p>
    <w:p>
      <w:pPr>
        <w:spacing w:after="80"/>
      </w:pPr>
      <w:r>
        <w:rPr>
          <w:rFonts w:ascii="Times New Roman" w:hAnsi="Times New Roman"/>
          <w:sz w:val="20"/>
        </w:rPr>
        <w:t>[2] Bérdy, J. Bioactive Microbial Metabolites: A Personal View. J. Antibiot. 2005, 58, 1-26.</w:t>
      </w:r>
    </w:p>
    <w:p>
      <w:pPr>
        <w:spacing w:after="80"/>
      </w:pPr>
      <w:r>
        <w:rPr>
          <w:rFonts w:ascii="Times New Roman" w:hAnsi="Times New Roman"/>
          <w:sz w:val="20"/>
        </w:rPr>
        <w:t>[3] Cragg, G. M., Pezzuto, J. M. Natural Products as a Vital Source for the Discovery of Cancer Chemotherapeutic and Chemopreventive Agents. Med. Princ. Pract. 2016, 25, 41-59.</w:t>
      </w:r>
    </w:p>
    <w:p>
      <w:pPr>
        <w:spacing w:after="80"/>
      </w:pPr>
      <w:r>
        <w:rPr>
          <w:rFonts w:ascii="Times New Roman" w:hAnsi="Times New Roman"/>
          <w:sz w:val="20"/>
        </w:rPr>
        <w:t>[4] Kerr, J. F., Wyllie, A. H., Currie, A. R. Apoptosis: A Basic Biological Phenomenon with Wide-Ranging Implications in Tissue Kinetics. Br. J. Cancer 1972, 26, 239-257.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