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4"/>
          <w:szCs w:val="44"/>
        </w:rPr>
        <w:t xml:space="preserve">Vesper Capital — Project Brief</w:t>
      </w:r>
    </w:p>
    <w:p>
      <w:pPr>
        <w:spacing w:after="80"/>
      </w:pPr>
      <w:r>
        <w:rPr>
          <w:rFonts w:ascii="Arial" w:cs="Arial" w:eastAsia="Arial" w:hAnsi="Arial"/>
          <w:color w:val="555555"/>
          <w:sz w:val="26"/>
          <w:szCs w:val="26"/>
        </w:rPr>
        <w:t xml:space="preserve">Smart Money Wallet Identification &amp; Forward Return Signal</w:t>
      </w:r>
    </w:p>
    <w:p>
      <w:pPr>
        <w:spacing w:after="80"/>
      </w:pPr>
      <w:r>
        <w:rPr>
          <w:rFonts w:ascii="Arial" w:cs="Arial" w:eastAsia="Arial" w:hAnsi="Arial"/>
          <w:color w:val="888888"/>
          <w:sz w:val="20"/>
          <w:szCs w:val="20"/>
        </w:rPr>
        <w:t xml:space="preserve">Version 10  |  May 12, 2026  |  Status: Capital simulation validated. Live signal deployment in progress. Sequence model experiment queued.</w:t>
      </w:r>
    </w:p>
    <w:p>
      <w:pPr>
        <w:pBdr>
          <w:bottom w:val="single" w:color="CCCCCC" w:sz="4" w:space="1"/>
        </w:pBdr>
        <w:spacing w:after="160"/>
      </w:pPr>
    </w:p>
    <w:p>
      <w:pPr>
        <w:pStyle w:val="Heading1"/>
      </w:pPr>
      <w:r>
        <w:rPr>
          <w:rFonts w:ascii="Arial" w:cs="Arial" w:eastAsia="Arial" w:hAnsi="Arial"/>
          <w:b/>
          <w:bCs/>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2026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brief. Convexity-based wallet discovery.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F1-F3. Design decisions D1-D13.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sources. CryptoCompare adoption.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19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F5-F11. Confirmed skilled wallet. Hourly study. D14-D17.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19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 POC (F9).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Walk-forward v3 (F10). Significant edge. D18-D21.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22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F11: Weighted vs unweighted edge. Threshold filter. D22-D23.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23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F12: 1h filter. F13: Behavior exit. D24-D26. To-do log.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23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F14: Trade concentration. D27: Convexity lag. Strategic reframe.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F15: Wallet pool expansion iterations. F16: Wallet activity analysis. D28: Pool selection discipline. New notebooks: live_signal_monitor, lstm_experiment. Strategic roadmap updated.</w:t>
            </w:r>
          </w:p>
        </w:tc>
      </w:tr>
    </w:tbl>
    <w:p>
      <w:pPr>
        <w:spacing w:after="120"/>
      </w:pPr>
    </w:p>
    <w:p>
      <w:pPr>
        <w:spacing w:after="0"/>
      </w:pPr>
      <w:r>
        <w:rPr>
          <w:rFonts w:ascii="Arial" w:cs="Arial" w:eastAsia="Arial" w:hAnsi="Arial"/>
          <w:i/>
          <w:iCs/>
          <w:color w:val="888888"/>
          <w:sz w:val="18"/>
          <w:szCs w:val="18"/>
        </w:rPr>
        <w:t xml:space="preserve">Last updated: May 12, 2026</w:t>
      </w:r>
    </w:p>
    <w:p>
      <w:pPr>
        <w:spacing w:after="120"/>
      </w:pPr>
    </w:p>
    <w:p>
      <w:pPr>
        <w:spacing w:after="0"/>
      </w:pPr>
      <w:r>
        <w:br w:type="page"/>
      </w:r>
    </w:p>
    <w:p>
      <w:pPr>
        <w:pStyle w:val="Heading1"/>
      </w:pPr>
      <w:r>
        <w:rPr>
          <w:rFonts w:ascii="Arial" w:cs="Arial" w:eastAsia="Arial" w:hAnsi="Arial"/>
          <w:b/>
          <w:bCs/>
          <w:sz w:val="32"/>
          <w:szCs w:val="32"/>
        </w:rPr>
        <w:t xml:space="preserve">1. Project Objective</w:t>
      </w:r>
    </w:p>
    <w:p>
      <w:pPr>
        <w:spacing w:after="120"/>
      </w:pPr>
      <w:r>
        <w:rPr>
          <w:rFonts w:ascii="Arial" w:cs="Arial" w:eastAsia="Arial" w:hAnsi="Arial"/>
          <w:sz w:val="22"/>
          <w:szCs w:val="22"/>
        </w:rPr>
        <w:t xml:space="preserve">Identify a rolling portfolio of Ethereum wallet addresses whose buy/sell actions demonstrate statistically significant forward return predictability. Use the aggregate behavior of confirmed skilled wallets as a trading signal for ETH.</w:t>
      </w:r>
    </w:p>
    <w:p>
      <w:pPr>
        <w:spacing w:after="120"/>
      </w:pPr>
      <w:r>
        <w:rPr>
          <w:rFonts w:ascii="Arial" w:cs="Arial" w:eastAsia="Arial" w:hAnsi="Arial"/>
          <w:sz w:val="22"/>
          <w:szCs w:val="22"/>
        </w:rPr>
        <w:t xml:space="preserve">Commercialization: license signal to third parties, trade personally, potentially sell codebase. Verifiable forward track record via timestamped GitHub commits.</w:t>
      </w:r>
    </w:p>
    <w:p>
      <w:pPr>
        <w:spacing w:after="0"/>
      </w:pPr>
      <w:r>
        <w:rPr>
          <w:rFonts w:ascii="Arial" w:cs="Arial" w:eastAsia="Arial" w:hAnsi="Arial"/>
          <w:i/>
          <w:iCs/>
          <w:color w:val="888888"/>
          <w:sz w:val="18"/>
          <w:szCs w:val="18"/>
        </w:rPr>
        <w:t xml:space="preserve">Last updated: April 9, 2026</w:t>
      </w:r>
    </w:p>
    <w:p>
      <w:pPr>
        <w:spacing w:after="120"/>
      </w:pPr>
    </w:p>
    <w:p>
      <w:pPr>
        <w:pStyle w:val="Heading1"/>
      </w:pPr>
      <w:r>
        <w:rPr>
          <w:rFonts w:ascii="Arial" w:cs="Arial" w:eastAsia="Arial" w:hAnsi="Arial"/>
          <w:b/>
          <w:bCs/>
          <w:sz w:val="32"/>
          <w:szCs w:val="32"/>
        </w:rPr>
        <w:t xml:space="preserve">2. Strategic Vision</w:t>
      </w:r>
    </w:p>
    <w:p>
      <w:pPr>
        <w:pStyle w:val="Heading2"/>
      </w:pPr>
      <w:r>
        <w:rPr>
          <w:rFonts w:ascii="Arial" w:cs="Arial" w:eastAsia="Arial" w:hAnsi="Arial"/>
          <w:b/>
          <w:bCs/>
          <w:sz w:val="26"/>
          <w:szCs w:val="26"/>
        </w:rPr>
        <w:t xml:space="preserve">2.1 The core insight</w:t>
      </w:r>
    </w:p>
    <w:p>
      <w:pPr>
        <w:spacing w:after="120"/>
      </w:pPr>
      <w:r>
        <w:rPr>
          <w:rFonts w:ascii="Arial" w:cs="Arial" w:eastAsia="Arial" w:hAnsi="Arial"/>
          <w:sz w:val="22"/>
          <w:szCs w:val="22"/>
        </w:rPr>
        <w:t xml:space="preserve">The methodology is validated. What limits performance is input quality — 200 randomly selected wallets with a suboptimal selection criterion. The search heuristic for skilled wallets is the real product. The capital simulation with the validated baseline pool produces 13.2% total return over 18 months, Sharpe 2.0 on all hours, with p=0.028 statistical significance.</w:t>
      </w:r>
    </w:p>
    <w:p>
      <w:pPr>
        <w:spacing w:after="120"/>
      </w:pPr>
    </w:p>
    <w:p>
      <w:pPr>
        <w:pStyle w:val="Heading2"/>
      </w:pPr>
      <w:r>
        <w:rPr>
          <w:rFonts w:ascii="Arial" w:cs="Arial" w:eastAsia="Arial" w:hAnsi="Arial"/>
          <w:b/>
          <w:bCs/>
          <w:sz w:val="26"/>
          <w:szCs w:val="26"/>
        </w:rPr>
        <w:t xml:space="preserve">2.2 Validated baseline — DO NOT REPLACE</w:t>
      </w:r>
    </w:p>
    <w:p>
      <w:pPr>
        <w:spacing w:after="120"/>
      </w:pPr>
      <w:r>
        <w:rPr>
          <w:rFonts w:ascii="Arial" w:cs="Arial" w:eastAsia="Arial" w:hAnsi="Arial"/>
          <w:sz w:val="22"/>
          <w:szCs w:val="22"/>
        </w:rPr>
        <w:t xml:space="preserve">The 200-wallet random pool with walk-forward p=0.028 and +1.005%/hr non-November mean edge is the validated baseline. Pool expansion experiments showed that adding more wallets indiscriminately dilutes signal. The baseline is the production model until a clearly superior pool is confirmed by walk-forward. Changes to the pool should be tested incrementally and validated before replacing the baseline.</w:t>
      </w:r>
    </w:p>
    <w:p>
      <w:pPr>
        <w:spacing w:after="120"/>
      </w:pPr>
    </w:p>
    <w:p>
      <w:pPr>
        <w:pStyle w:val="Heading2"/>
      </w:pPr>
      <w:r>
        <w:rPr>
          <w:rFonts w:ascii="Arial" w:cs="Arial" w:eastAsia="Arial" w:hAnsi="Arial"/>
          <w:b/>
          <w:bCs/>
          <w:sz w:val="26"/>
          <w:szCs w:val="26"/>
        </w:rPr>
        <w:t xml:space="preserve">2.3 Strategic roadmap</w:t>
      </w:r>
    </w:p>
    <w:p>
      <w:pPr>
        <w:spacing w:after="60"/>
        <w:ind w:left="360"/>
      </w:pPr>
      <w:r>
        <w:rPr>
          <w:rFonts w:ascii="Arial" w:cs="Arial" w:eastAsia="Arial" w:hAnsi="Arial"/>
          <w:sz w:val="22"/>
          <w:szCs w:val="22"/>
        </w:rPr>
        <w:t xml:space="preserve">• Step 1 (IN PROGRESS): Start live forward track record via live_signal_monitor.ipynb + GitHub commits</w:t>
      </w:r>
    </w:p>
    <w:p>
      <w:pPr>
        <w:spacing w:after="60"/>
        <w:ind w:left="360"/>
      </w:pPr>
      <w:r>
        <w:rPr>
          <w:rFonts w:ascii="Arial" w:cs="Arial" w:eastAsia="Arial" w:hAnsi="Arial"/>
          <w:sz w:val="22"/>
          <w:szCs w:val="22"/>
        </w:rPr>
        <w:t xml:space="preserve">• Step 2 (QUEUED): LSTM sequence model experiment — test whether temporal structure improves on XGBoost</w:t>
      </w:r>
    </w:p>
    <w:p>
      <w:pPr>
        <w:spacing w:after="60"/>
        <w:ind w:left="360"/>
      </w:pPr>
      <w:r>
        <w:rPr>
          <w:rFonts w:ascii="Arial" w:cs="Arial" w:eastAsia="Arial" w:hAnsi="Arial"/>
          <w:sz w:val="22"/>
          <w:szCs w:val="22"/>
        </w:rPr>
        <w:t xml:space="preserve">• Step 3 (PLANNED): ERC-20 token extension — apply methodology to less efficient token markets on Ethereum</w:t>
      </w:r>
    </w:p>
    <w:p>
      <w:pPr>
        <w:spacing w:after="60"/>
        <w:ind w:left="360"/>
      </w:pPr>
      <w:r>
        <w:rPr>
          <w:rFonts w:ascii="Arial" w:cs="Arial" w:eastAsia="Arial" w:hAnsi="Arial"/>
          <w:sz w:val="22"/>
          <w:szCs w:val="22"/>
        </w:rPr>
        <w:t xml:space="preserve">• Step 4 (ONGOING): Continue wallet search, refine selection criteria, add incrementally to pool</w:t>
      </w:r>
    </w:p>
    <w:p>
      <w:pPr>
        <w:spacing w:after="0"/>
      </w:pPr>
      <w:r>
        <w:rPr>
          <w:rFonts w:ascii="Arial" w:cs="Arial" w:eastAsia="Arial" w:hAnsi="Arial"/>
          <w:i/>
          <w:iCs/>
          <w:color w:val="888888"/>
          <w:sz w:val="18"/>
          <w:szCs w:val="18"/>
        </w:rPr>
        <w:t xml:space="preserve">Last updated: May 12, 2026</w:t>
      </w:r>
    </w:p>
    <w:p>
      <w:pPr>
        <w:spacing w:after="120"/>
      </w:pPr>
    </w:p>
    <w:p>
      <w:pPr>
        <w:spacing w:after="0"/>
      </w:pPr>
      <w:r>
        <w:br w:type="page"/>
      </w:r>
    </w:p>
    <w:p>
      <w:pPr>
        <w:pStyle w:val="Heading1"/>
      </w:pPr>
      <w:r>
        <w:rPr>
          <w:rFonts w:ascii="Arial" w:cs="Arial" w:eastAsia="Arial" w:hAnsi="Arial"/>
          <w:b/>
          <w:bCs/>
          <w:sz w:val="32"/>
          <w:szCs w:val="32"/>
        </w:rPr>
        <w:t xml:space="preserve">3. Capital Simulation Results (Validated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Metric</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Fixed 24h Hold</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Behavior Exit</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Behavior + 1h Filter</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Notes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Total return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+9.17%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+13.20%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Jul 2023 – Dec 2024</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Annualized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Gross PnL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$5,551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$11,169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$13,744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Transaction costs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$1,893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$539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1h filter cuts costs 72%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Entries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time in market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9.1%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Max drawdown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Sharpe (active hrs)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N=10 — wide CI</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Sharpe (all hrs)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More reliable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Win rate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8 of 10 trades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Win/loss ratio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3.6x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Mean win $1,861 / loss $517</w:t>
            </w:r>
          </w:p>
        </w:tc>
      </w:tr>
    </w:tbl>
    <w:p>
      <w:pPr>
        <w:spacing w:after="120"/>
      </w:pPr>
    </w:p>
    <w:p>
      <w:pPr>
        <w:spacing w:after="0"/>
      </w:pPr>
      <w:r>
        <w:rPr>
          <w:rFonts w:ascii="Arial" w:cs="Arial" w:eastAsia="Arial" w:hAnsi="Arial"/>
          <w:i/>
          <w:iCs/>
          <w:color w:val="888888"/>
          <w:sz w:val="18"/>
          <w:szCs w:val="18"/>
        </w:rPr>
        <w:t xml:space="preserve">Last updated: April 23, 2026</w:t>
      </w:r>
    </w:p>
    <w:p>
      <w:pPr>
        <w:spacing w:after="120"/>
      </w:pPr>
    </w:p>
    <w:p>
      <w:pPr>
        <w:spacing w:after="0"/>
      </w:pPr>
      <w:r>
        <w:br w:type="page"/>
      </w:r>
    </w:p>
    <w:p>
      <w:pPr>
        <w:pStyle w:val="Heading1"/>
      </w:pPr>
      <w:r>
        <w:rPr>
          <w:rFonts w:ascii="Arial" w:cs="Arial" w:eastAsia="Arial" w:hAnsi="Arial"/>
          <w:b/>
          <w:bCs/>
          <w:sz w:val="32"/>
          <w:szCs w:val="32"/>
        </w:rPr>
        <w:t xml:space="preserve">4. Empirical Findings</w:t>
      </w:r>
    </w:p>
    <w:p>
      <w:pPr>
        <w:pStyle w:val="Heading2"/>
      </w:pPr>
      <w:r>
        <w:rPr>
          <w:rFonts w:ascii="Arial" w:cs="Arial" w:eastAsia="Arial" w:hAnsi="Arial"/>
          <w:b/>
          <w:bCs/>
          <w:sz w:val="26"/>
          <w:szCs w:val="26"/>
        </w:rPr>
        <w:t xml:space="preserve">F1-F14: See v9 brief</w:t>
      </w:r>
    </w:p>
    <w:p>
      <w:pPr>
        <w:spacing w:after="120"/>
      </w:pPr>
    </w:p>
    <w:p>
      <w:pPr>
        <w:pStyle w:val="Heading2"/>
      </w:pPr>
      <w:r>
        <w:rPr>
          <w:rFonts w:ascii="Arial" w:cs="Arial" w:eastAsia="Arial" w:hAnsi="Arial"/>
          <w:b/>
          <w:bCs/>
          <w:sz w:val="26"/>
          <w:szCs w:val="26"/>
        </w:rPr>
        <w:t xml:space="preserve">F15. Wallet pool expansion iterations (May 2026)</w:t>
      </w:r>
    </w:p>
    <w:p>
      <w:pPr>
        <w:spacing w:after="120"/>
      </w:pPr>
      <w:r>
        <w:rPr>
          <w:rFonts w:ascii="Arial" w:cs="Arial" w:eastAsia="Arial" w:hAnsi="Arial"/>
          <w:sz w:val="22"/>
          <w:szCs w:val="22"/>
        </w:rPr>
        <w:t xml:space="preserve">Three wallet pool configurations were tested against the validated 200-wallet baseline (p=0.028, +1.005%/hr non-November mean edge):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Configuration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Mean Edge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P-value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Positive Folds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Notes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Baseline (200 random wallets)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+1.005%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0.028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9/12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Validated — production model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All 113 accepted wallets (314 total)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+0.521%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0.038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8/11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Signal diluted — not better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Top tier (edge&gt;=0.7, n&gt;=25, 252 total)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+0.807%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0.218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Higher mean but lost significance</w:t>
            </w:r>
          </w:p>
        </w:tc>
      </w:tr>
    </w:tbl>
    <w:p>
      <w:pPr>
        <w:spacing w:after="120"/>
      </w:pPr>
    </w:p>
    <w:p>
      <w:pPr>
        <w:spacing w:after="120"/>
      </w:pPr>
      <w:r>
        <w:rPr>
          <w:rFonts w:ascii="Arial" w:cs="Arial" w:eastAsia="Arial" w:hAnsi="Arial"/>
          <w:sz w:val="22"/>
          <w:szCs w:val="22"/>
        </w:rPr>
        <w:t xml:space="preserve">Key finding: adding more wallets indiscriminately reduces statistical significance even when individual wallet edges are positive. This is because new wallets add both signal and noise, and increased variance dominates improved mean edge in the t-test. Pool expansion must be done incrementally with each addition tested before committing.</w:t>
      </w:r>
    </w:p>
    <w:p>
      <w:pPr>
        <w:spacing w:after="0"/>
      </w:pPr>
      <w:r>
        <w:rPr>
          <w:rFonts w:ascii="Arial" w:cs="Arial" w:eastAsia="Arial" w:hAnsi="Arial"/>
          <w:i/>
          <w:iCs/>
          <w:color w:val="888888"/>
          <w:sz w:val="18"/>
          <w:szCs w:val="18"/>
        </w:rPr>
        <w:t xml:space="preserve">Last updated: May 2026</w:t>
      </w:r>
    </w:p>
    <w:p>
      <w:pPr>
        <w:spacing w:after="120"/>
      </w:pPr>
    </w:p>
    <w:p>
      <w:pPr>
        <w:pStyle w:val="Heading2"/>
      </w:pPr>
      <w:r>
        <w:rPr>
          <w:rFonts w:ascii="Arial" w:cs="Arial" w:eastAsia="Arial" w:hAnsi="Arial"/>
          <w:b/>
          <w:bCs/>
          <w:sz w:val="26"/>
          <w:szCs w:val="26"/>
        </w:rPr>
        <w:t xml:space="preserve">F16. Live wallet activity analysis (May 12, 2026)</w:t>
      </w:r>
    </w:p>
    <w:p>
      <w:pPr>
        <w:spacing w:after="120"/>
      </w:pPr>
      <w:r>
        <w:rPr>
          <w:rFonts w:ascii="Arial" w:cs="Arial" w:eastAsia="Arial" w:hAnsi="Arial"/>
          <w:sz w:val="22"/>
          <w:szCs w:val="22"/>
        </w:rPr>
        <w:t xml:space="preserve">Current balance and recent transaction analysis for two key wallets:</w:t>
      </w:r>
    </w:p>
    <w:p>
      <w:pPr>
        <w:spacing w:after="120"/>
      </w:pPr>
    </w:p>
    <w:p>
      <w:pPr>
        <w:spacing w:after="80"/>
      </w:pPr>
      <w:r>
        <w:rPr>
          <w:rFonts w:ascii="Arial" w:cs="Arial" w:eastAsia="Arial" w:hAnsi="Arial"/>
          <w:b/>
          <w:bCs/>
          <w:sz w:val="22"/>
          <w:szCs w:val="22"/>
        </w:rPr>
        <w:t xml:space="preserve">0x1b4b91bb (Confirmed F7 skilled wallet): </w:t>
      </w:r>
      <w:r>
        <w:rPr>
          <w:rFonts w:ascii="Arial" w:cs="Arial" w:eastAsia="Arial" w:hAnsi="Arial"/>
          <w:sz w:val="22"/>
          <w:szCs w:val="22"/>
        </w:rPr>
        <w:t xml:space="preserve">Reactivating after dormancy. Balance recovered to 1.94 ETH from near-zero. May 1, 2026: +1.66 ETH net inflow across 7 transactions with paired buy/sell pattern matching original skilled period. Previously distributed from Jan-Apr 2026. Worth close monitoring — if another high-conviction buy (&gt;=1 ETH net) occurs in next 2-4 weeks, this is a live signal candidate again.</w:t>
      </w:r>
    </w:p>
    <w:p>
      <w:pPr>
        <w:spacing w:after="120"/>
      </w:pPr>
    </w:p>
    <w:p>
      <w:pPr>
        <w:spacing w:after="80"/>
      </w:pPr>
      <w:r>
        <w:rPr>
          <w:rFonts w:ascii="Arial" w:cs="Arial" w:eastAsia="Arial" w:hAnsi="Arial"/>
          <w:b/>
          <w:bCs/>
          <w:sz w:val="22"/>
          <w:szCs w:val="22"/>
        </w:rPr>
        <w:t xml:space="preserve">0x50553500 (Top wallet search result, edge +5.11%): </w:t>
      </w:r>
      <w:r>
        <w:rPr>
          <w:rFonts w:ascii="Arial" w:cs="Arial" w:eastAsia="Arial" w:hAnsi="Arial"/>
          <w:sz w:val="22"/>
          <w:szCs w:val="22"/>
        </w:rPr>
        <w:t xml:space="preserve">Identified as contract or bot. Current balance 0.000 ETH. April 29: -93.25 ETH across 155 transactions. Balance cycles to zero repeatedly. Not an EOA accumulator — high edge in scoring window was statistical artifact of transaction timing. Added to MEV_CONTRACTS exclusion list.</w:t>
      </w:r>
    </w:p>
    <w:p>
      <w:pPr>
        <w:spacing w:after="0"/>
      </w:pPr>
      <w:r>
        <w:rPr>
          <w:rFonts w:ascii="Arial" w:cs="Arial" w:eastAsia="Arial" w:hAnsi="Arial"/>
          <w:i/>
          <w:iCs/>
          <w:color w:val="888888"/>
          <w:sz w:val="18"/>
          <w:szCs w:val="18"/>
        </w:rPr>
        <w:t xml:space="preserve">Last updated: May 12, 2026</w:t>
      </w:r>
    </w:p>
    <w:p>
      <w:pPr>
        <w:spacing w:after="120"/>
      </w:pPr>
    </w:p>
    <w:p>
      <w:pPr>
        <w:spacing w:after="0"/>
      </w:pPr>
      <w:r>
        <w:br w:type="page"/>
      </w:r>
    </w:p>
    <w:p>
      <w:pPr>
        <w:pStyle w:val="Heading1"/>
      </w:pPr>
      <w:r>
        <w:rPr>
          <w:rFonts w:ascii="Arial" w:cs="Arial" w:eastAsia="Arial" w:hAnsi="Arial"/>
          <w:b/>
          <w:bCs/>
          <w:sz w:val="32"/>
          <w:szCs w:val="32"/>
        </w:rPr>
        <w:t xml:space="preserve">5. Design Decisions</w:t>
      </w:r>
    </w:p>
    <w:p>
      <w:pPr>
        <w:pStyle w:val="Heading2"/>
      </w:pPr>
      <w:r>
        <w:rPr>
          <w:rFonts w:ascii="Arial" w:cs="Arial" w:eastAsia="Arial" w:hAnsi="Arial"/>
          <w:b/>
          <w:bCs/>
          <w:sz w:val="26"/>
          <w:szCs w:val="26"/>
        </w:rPr>
        <w:t xml:space="preserve">D1-D27: See v9 brief</w:t>
      </w:r>
    </w:p>
    <w:p>
      <w:pPr>
        <w:spacing w:after="120"/>
      </w:pPr>
    </w:p>
    <w:p>
      <w:pPr>
        <w:spacing w:after="80"/>
      </w:pPr>
      <w:r>
        <w:rPr>
          <w:rFonts w:ascii="Arial" w:cs="Arial" w:eastAsia="Arial" w:hAnsi="Arial"/>
          <w:b/>
          <w:bCs/>
          <w:sz w:val="22"/>
          <w:szCs w:val="22"/>
        </w:rPr>
        <w:t xml:space="preserve">D28 — Pool expansion discipline: </w:t>
      </w:r>
      <w:r>
        <w:rPr>
          <w:rFonts w:ascii="Arial" w:cs="Arial" w:eastAsia="Arial" w:hAnsi="Arial"/>
          <w:sz w:val="22"/>
          <w:szCs w:val="22"/>
        </w:rPr>
        <w:t xml:space="preserve">The validated 200-wallet baseline (p=0.028) is the production model. Pool changes must be tested incrementally — add 5-10 wallets at a time, rerun walk-forward, confirm p-value improves or stays significant before keeping the addition. Bulk additions consistently degrade statistical significance even when individual wallet edges are positive. The mechanism is increased variance from marginal wallets dominating improved mean edge in the t-test. Accepted wallets from the search pipeline should be added in small batches ordered by quality (edge descending) with walk-forward validation at each step.</w:t>
      </w:r>
    </w:p>
    <w:p>
      <w:pPr>
        <w:spacing w:after="120"/>
      </w:pPr>
    </w:p>
    <w:p>
      <w:pPr>
        <w:spacing w:after="80"/>
      </w:pPr>
      <w:r>
        <w:rPr>
          <w:rFonts w:ascii="Arial" w:cs="Arial" w:eastAsia="Arial" w:hAnsi="Arial"/>
          <w:b/>
          <w:bCs/>
          <w:sz w:val="22"/>
          <w:szCs w:val="22"/>
        </w:rPr>
        <w:t xml:space="preserve">D29 — Wallet identity verification before pool addition: </w:t>
      </w:r>
      <w:r>
        <w:rPr>
          <w:rFonts w:ascii="Arial" w:cs="Arial" w:eastAsia="Arial" w:hAnsi="Arial"/>
          <w:sz w:val="22"/>
          <w:szCs w:val="22"/>
        </w:rPr>
        <w:t xml:space="preserve">Before adding any wallet from the search pipeline to the pool, verify it is a genuine EOA accumulator and not a contract, bot, or exchange address. Minimum checks: (1) current balance &gt; 0 ETH, (2) balance does not cycle to zero, (3) transaction count per day &lt; 20 on typical days, (4) not in known MEV/exchange address list. The 0x50553500 case demonstrated that a +5.11% scored wallet can be a contract with no human trading behavior.</w:t>
      </w:r>
    </w:p>
    <w:p>
      <w:pPr>
        <w:spacing w:after="120"/>
      </w:pPr>
    </w:p>
    <w:p>
      <w:pPr>
        <w:spacing w:after="0"/>
      </w:pPr>
      <w:r>
        <w:rPr>
          <w:rFonts w:ascii="Arial" w:cs="Arial" w:eastAsia="Arial" w:hAnsi="Arial"/>
          <w:i/>
          <w:iCs/>
          <w:color w:val="888888"/>
          <w:sz w:val="18"/>
          <w:szCs w:val="18"/>
        </w:rPr>
        <w:t xml:space="preserve">Last updated: May 12, 2026</w:t>
      </w:r>
    </w:p>
    <w:p>
      <w:pPr>
        <w:spacing w:after="120"/>
      </w:pPr>
    </w:p>
    <w:p>
      <w:pPr>
        <w:spacing w:after="0"/>
      </w:pPr>
      <w:r>
        <w:br w:type="page"/>
      </w:r>
    </w:p>
    <w:p>
      <w:pPr>
        <w:pStyle w:val="Heading1"/>
      </w:pPr>
      <w:r>
        <w:rPr>
          <w:rFonts w:ascii="Arial" w:cs="Arial" w:eastAsia="Arial" w:hAnsi="Arial"/>
          <w:b/>
          <w:bCs/>
          <w:sz w:val="32"/>
          <w:szCs w:val="32"/>
        </w:rPr>
        <w:t xml:space="preserve">6. Notebook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Purpose / Findings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claude_refactor_core_utils.py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pipeline functions. fetch_balances_for_schedule (async batching, 100x faster than sequential). Core dependency for all notebooks.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random_10k_study.ipynb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Random 10k longitudinal study — F4, F5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random_10k_study_extended.ipynb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Extended history top 500 — F6, F7. Confirmed 0x1b4b91bb as skilled wallet.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hourly_wallet_study.ipynb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Hourly resolution study — F8. Zero FDR survivors below 24h horizon.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hourly_extension_fetch.ipynb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Extends balance store to Jan 2023</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xgboost_signal_model.ipynb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XGBoost POC — F9. 93.98% wallet feature importance.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walkforward_validation.ipynb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Walk-forward v3 — F10, F11. PRODUCTION MODEL. p=0.028, +1.005%/hr. Uses balance_store_hourly_top200.csv.</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walkforward_1h.ipynb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1h model standalone — feeds signal_filter_analysis.ipynb</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signal_filter_analysis.ipynb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1h+24h joint analysis — F12. +2.07%/hr filter improvement.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combined_model.ipynb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 simulation — F13, F14. Behavior exit + 1h filter. 13.2% return, Sharpe 2.0.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wallet_search_v3.ipynb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10k-scale targeted wallet search — O5/O11/O25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accepted_wallet_fetch.ipynb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Hourly fetch for accepted wallets + merge into combined store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live_signal_monitor.ipynb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 signal generation + GitHub commit. IN SETUP.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lstm_experiment.ipynb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LSTM sequence model — test vs XGBoost baseline. QUEUED.</w:t>
            </w:r>
          </w:p>
        </w:tc>
      </w:tr>
    </w:tbl>
    <w:p>
      <w:pPr>
        <w:spacing w:after="120"/>
      </w:pPr>
    </w:p>
    <w:p>
      <w:pPr>
        <w:spacing w:after="0"/>
      </w:pPr>
      <w:r>
        <w:rPr>
          <w:rFonts w:ascii="Arial" w:cs="Arial" w:eastAsia="Arial" w:hAnsi="Arial"/>
          <w:i/>
          <w:iCs/>
          <w:color w:val="888888"/>
          <w:sz w:val="18"/>
          <w:szCs w:val="18"/>
        </w:rPr>
        <w:t xml:space="preserve">Last updated: May 12, 2026</w:t>
      </w:r>
    </w:p>
    <w:p>
      <w:pPr>
        <w:spacing w:after="120"/>
      </w:pPr>
    </w:p>
    <w:p>
      <w:pPr>
        <w:spacing w:after="0"/>
      </w:pPr>
      <w:r>
        <w:br w:type="page"/>
      </w:r>
    </w:p>
    <w:p>
      <w:pPr>
        <w:pStyle w:val="Heading1"/>
      </w:pPr>
      <w:r>
        <w:rPr>
          <w:rFonts w:ascii="Arial" w:cs="Arial" w:eastAsia="Arial" w:hAnsi="Arial"/>
          <w:b/>
          <w:bCs/>
          <w:sz w:val="32"/>
          <w:szCs w:val="32"/>
        </w:rPr>
        <w:t xml:space="preserve">7. Open Design Decisions &amp; To-Do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400"/>
        <w:gridCol w:w="4960"/>
        <w:gridCol w:w="40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ID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Priority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Item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Description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Status</w:t>
            </w:r>
          </w:p>
        </w:tc>
      </w:tr>
      <w:tr>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CC0000"/>
                <w:sz w:val="18"/>
                <w:szCs w:val="18"/>
              </w:rPr>
              <w:t xml:space="preserve">O21</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CC0000"/>
                <w:sz w:val="18"/>
                <w:szCs w:val="18"/>
              </w:rPr>
              <w:t xml:space="preserve">Live signal deployment</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CC0000"/>
                <w:sz w:val="18"/>
                <w:szCs w:val="18"/>
              </w:rPr>
              <w:t xml:space="preserve">Deploy live_signal_monitor.ipynb as daily cron job. Commit signal to GitHub each day before 24h resolution window. IN PROGRESS — notebook built, cron setup pending.</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CC0000"/>
                <w:sz w:val="18"/>
                <w:szCs w:val="18"/>
              </w:rPr>
              <w:t xml:space="preserve">In Progress</w:t>
            </w:r>
          </w:p>
        </w:tc>
      </w:tr>
      <w:tr>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CC0000"/>
                <w:sz w:val="18"/>
                <w:szCs w:val="18"/>
              </w:rPr>
              <w:t xml:space="preserve">O5</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CC0000"/>
                <w:sz w:val="18"/>
                <w:szCs w:val="18"/>
              </w:rPr>
              <w:t xml:space="preserve">Wallet selection redesign</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CC0000"/>
                <w:sz w:val="18"/>
                <w:szCs w:val="18"/>
              </w:rPr>
              <w:t xml:space="preserve">Multi-horizon size-weighted forward return scoring. Better pool quality is highest-leverage improvement. Use forward return scoring (not convexity — D27). Add wallets incrementally per D28.</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CC0000"/>
                <w:sz w:val="18"/>
                <w:szCs w:val="18"/>
              </w:rPr>
              <w:t xml:space="preserve">Open</w:t>
            </w:r>
          </w:p>
        </w:tc>
      </w:tr>
      <w:tr>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O27</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bCs/>
                <w:color w:val="996600"/>
                <w:sz w:val="18"/>
                <w:szCs w:val="18"/>
              </w:rPr>
              <w:t xml:space="preserve">HIGH</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LSTM sequence model experiment</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Run lstm_experiment.ipynb. Test whether temporal structure improves on XGBoost. If LSTM beats XGBoost by &gt;0.5%: pursue. If comparable or worse: confirms aggregate hypothesis, stick with XGBoost. QUEUED.</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Open</w:t>
            </w:r>
          </w:p>
        </w:tc>
      </w:tr>
      <w:tr>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O28</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bCs/>
                <w:color w:val="996600"/>
                <w:sz w:val="18"/>
                <w:szCs w:val="18"/>
              </w:rPr>
              <w:t xml:space="preserve">HIGH</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ERC-20 token extension</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Apply methodology to ERC-20 tokens on Ethereum (WBTC, LINK, AAVE, etc.). Infrastructure transfers — swap eth_getBalance for balanceOf. Smaller markets = less efficient pricing = potentially stronger information advantage.</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Open</w:t>
            </w:r>
          </w:p>
        </w:tc>
      </w:tr>
      <w:tr>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O17</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bCs/>
                <w:color w:val="996600"/>
                <w:sz w:val="18"/>
                <w:szCs w:val="18"/>
              </w:rPr>
              <w:t xml:space="preserve">HIGH</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Behavior exit param search</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Grid search MAX_HOLD_HOURS (168/240/336h), PRESSURE_CONFIRM_HOURS, EXIT_PRESSURE_FLOOR via meta walk-forward. Both top trades hit 168h stop.</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Open</w:t>
            </w:r>
          </w:p>
        </w:tc>
      </w:tr>
      <w:tr>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O26</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bCs/>
                <w:color w:val="996600"/>
                <w:sz w:val="18"/>
                <w:szCs w:val="18"/>
              </w:rPr>
              <w:t xml:space="preserve">HIGH</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Extend MAX_HOLD_HOURS</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Both largest trades hit 168h time stop with strong momentum. Test 240h and 336h. Wallets may accumulate for 2+ weeks during major regime shifts.</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Open</w:t>
            </w:r>
          </w:p>
        </w:tc>
      </w:tr>
      <w:tr>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O20</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bCs/>
                <w:color w:val="996600"/>
                <w:sz w:val="18"/>
                <w:szCs w:val="18"/>
              </w:rPr>
              <w:t xml:space="preserve">HIGH</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More trades for credible Sharpe</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N=10 trades insufficient (SE ~0.32). Need 30-50 min, 100+ preferred. Path: wallet pool expansion + more active months.</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Open</w:t>
            </w:r>
          </w:p>
        </w:tc>
      </w:tr>
      <w:tr>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O29</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bCs/>
                <w:color w:val="996600"/>
                <w:sz w:val="18"/>
                <w:szCs w:val="18"/>
              </w:rPr>
              <w:t xml:space="preserve">HIGH</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Incremental wallet addition</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Add accepted wallets (edge&gt;=0.7, n_trades&gt;=25, excluding contracts) 5-10 at a time. Test walk-forward p-value at each step. Stop adding if p-value degrades.</w:t>
            </w:r>
          </w:p>
        </w:tc>
        <w:tc>
          <w:tcPr>
            <w:tcBorders>
              <w:top w:val="single" w:color="CCCCCC" w:sz="1"/>
              <w:left w:val="single" w:color="CCCCCC" w:sz="1"/>
              <w:bottom w:val="single" w:color="CCCCCC" w:sz="1"/>
              <w:right w:val="single" w:color="CCCCCC" w:sz="1"/>
            </w:tcBorders>
            <w:shd w:fill="FFFBF0" w:val="clear"/>
            <w:tcMar>
              <w:top w:type="dxa" w:w="60"/>
              <w:left w:type="dxa" w:w="100"/>
              <w:bottom w:type="dxa" w:w="60"/>
              <w:right w:type="dxa" w:w="100"/>
            </w:tcMar>
          </w:tcPr>
          <w:p>
            <w:r>
              <w:rPr>
                <w:rFonts w:ascii="Arial" w:cs="Arial" w:eastAsia="Arial" w:hAnsi="Arial"/>
                <w:b w:val="false"/>
                <w:bCs w:val="false"/>
                <w:color w:val="996600"/>
                <w:sz w:val="18"/>
                <w:szCs w:val="18"/>
              </w:rPr>
              <w:t xml:space="preserve">Open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Forward live track record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 days = 30 verified signals. 90 days = statistically meaningful. 180 days = credible for commercialization. Depends on O21.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Conviction scoring redesign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 model prediction magnitude at entry as position size signal instead of signal persistence. High persistence = late entry = worse returns (confirmed by bucket analysis).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Threshold floor optimization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D22 floor at 0.50 set by observation. Formally grid-search. Low priority until pool improves.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Complementary signal sources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Stablecoin flows, DEX volume/slippage, gas dynamics, futures funding rates. Add 10-20 features from orthogonal sources to current feature matrix.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Failure month regime analysis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April/May 2024 consistent failure months across pool configurations. Characterize ETH regime during these months. Build regime detection layer as entry filter.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MEDIUM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Short model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p=0.617 non-November — not significant. Revisit after pool redesign. Consider buy-only scoring (D — buy signal is signal, sell is noise).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Leave-one-out pool analysis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Identify which of 200 baseline wallets are net additive vs net subtractive to model. Remove subtractive wallets. Smaller, cleaner pool may outperform.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Git commit and push all notebooks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 commit_vesper.sh. Tag current state as v1.0 baseline. Update README with current results.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Behavior exit on 1h model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1h edge (+0.057%/hr) doesn't clear cost hurdle. Behavior exit reduces TC drag — worth testing.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w:t>
            </w:r>
          </w:p>
        </w:tc>
      </w:tr>
    </w:tbl>
    <w:p>
      <w:pPr>
        <w:spacing w:after="120"/>
      </w:pPr>
    </w:p>
    <w:p>
      <w:pPr>
        <w:spacing w:after="0"/>
      </w:pPr>
      <w:r>
        <w:rPr>
          <w:rFonts w:ascii="Arial" w:cs="Arial" w:eastAsia="Arial" w:hAnsi="Arial"/>
          <w:i/>
          <w:iCs/>
          <w:color w:val="888888"/>
          <w:sz w:val="18"/>
          <w:szCs w:val="18"/>
        </w:rPr>
        <w:t xml:space="preserve">Last updated: May 12, 2026</w:t>
      </w:r>
    </w:p>
    <w:p>
      <w:pPr>
        <w:spacing w:after="120"/>
      </w:pPr>
    </w:p>
    <w:p>
      <w:pPr>
        <w:pStyle w:val="Heading1"/>
      </w:pPr>
      <w:r>
        <w:rPr>
          <w:rFonts w:ascii="Arial" w:cs="Arial" w:eastAsia="Arial" w:hAnsi="Arial"/>
          <w:b/>
          <w:bCs/>
          <w:sz w:val="32"/>
          <w:szCs w:val="32"/>
        </w:rPr>
        <w:t xml:space="preserve">8. Cost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Run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20-day expert pool discovery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106.2M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~$47.79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10k longitudinal (2.5yr)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~$33.75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500 extended history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balance fetch (473 wallets)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 balance fetch (200 wallets, 18mo)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~$22.47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 extension fetch (200 wallets, 6mo)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search POC (706 candidates)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~16,000 (actual)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Accepted wallet hourly fetch (113 wallets, 24mo)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~empirical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est.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live signal fetch (~200 wallets, 1 hr)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~negligible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~$0.001/day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project spend to 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~261M+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 est.</w:t>
            </w:r>
          </w:p>
        </w:tc>
      </w:tr>
    </w:tbl>
    <w:p>
      <w:pPr>
        <w:spacing w:after="0"/>
      </w:pPr>
      <w:r>
        <w:rPr>
          <w:rFonts w:ascii="Arial" w:cs="Arial" w:eastAsia="Arial" w:hAnsi="Arial"/>
          <w:i/>
          <w:iCs/>
          <w:color w:val="888888"/>
          <w:sz w:val="18"/>
          <w:szCs w:val="18"/>
        </w:rPr>
        <w:t xml:space="preserve">Last updated: May 12, 2026</w:t>
      </w:r>
    </w:p>
    <w:p>
      <w:pPr>
        <w:spacing w:after="120"/>
      </w:pPr>
    </w:p>
    <w:p>
      <w:pPr>
        <w:pBdr>
          <w:bottom w:val="single" w:color="CCCCCC" w:sz="4" w:space="1"/>
        </w:pBdr>
        <w:spacing w:after="160"/>
      </w:pPr>
    </w:p>
    <w:p>
      <w:pPr>
        <w:spacing w:after="0"/>
      </w:pPr>
      <w:r>
        <w:rPr>
          <w:rFonts w:ascii="Arial" w:cs="Arial" w:eastAsia="Arial" w:hAnsi="Arial"/>
          <w:i/>
          <w:iCs/>
          <w:color w:val="888888"/>
          <w:sz w:val="18"/>
          <w:szCs w:val="18"/>
        </w:rPr>
        <w:t xml:space="preserve">Bootstrap: 'Read blockchain_alpha_project_brief_v10.docx and claude_refactor_core_utils.py and get up to speed on this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c3e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2026-05-13T01:33:25.543Z</dcterms:created>
  <dcterms:modified xsi:type="dcterms:W3CDTF">2026-05-13T01:33:25.556Z</dcterms:modified>
</cp:coreProperties>
</file>

<file path=docProps/custom.xml><?xml version="1.0" encoding="utf-8"?>
<Properties xmlns="http://schemas.openxmlformats.org/officeDocument/2006/custom-properties" xmlns:vt="http://schemas.openxmlformats.org/officeDocument/2006/docPropsVTypes"/>
</file>